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19" w:tblpY="790"/>
        <w:tblOverlap w:val="never"/>
        <w:tblW w:w="1025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1350"/>
        <w:gridCol w:w="1005"/>
        <w:gridCol w:w="1050"/>
        <w:gridCol w:w="1095"/>
        <w:gridCol w:w="1620"/>
        <w:gridCol w:w="2366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56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auto"/>
                <w:sz w:val="40"/>
                <w:szCs w:val="40"/>
              </w:rPr>
            </w:pPr>
            <w:bookmarkStart w:id="0" w:name="_GoBack"/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40"/>
                <w:szCs w:val="40"/>
                <w:lang w:val="en-US" w:eastAsia="zh-CN" w:bidi="ar"/>
              </w:rPr>
              <w:t>西藏那曲市艺术团招聘专业人员报名表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毕业证书编号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从事本专业时间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从事本专业年限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个人特长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个人简历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家庭成员及主要社会关系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关系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获得省部级以上表彰奖励情况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F5FB"/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lin</cp:lastModifiedBy>
  <dcterms:modified xsi:type="dcterms:W3CDTF">2018-10-29T08:22:47Z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