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那曲市中央环保督察反馈意见（2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3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-0</w:t>
      </w:r>
      <w:r>
        <w:rPr>
          <w:rFonts w:hint="eastAsia" w:cs="黑体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cs="黑体" w:asciiTheme="majorEastAsia" w:hAnsiTheme="majorEastAsia" w:eastAsiaTheme="majorEastAsia"/>
          <w:sz w:val="44"/>
          <w:szCs w:val="44"/>
        </w:rPr>
        <w:t>）整改任务完成情况公示表</w:t>
      </w:r>
    </w:p>
    <w:tbl>
      <w:tblPr>
        <w:tblStyle w:val="4"/>
        <w:tblW w:w="9760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反馈问题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320" w:firstLine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那曲地区部分农村公路项目“未批先建”问题突出，且未落实“三同时”制度。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那曲市政府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责任人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敖刘全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（0896）3335877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整改目标</w:t>
            </w:r>
          </w:p>
        </w:tc>
        <w:tc>
          <w:tcPr>
            <w:tcW w:w="8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1、依法依归完成7个“未批先建”农村公路项目的整改工作。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2、限期完成13个农村公路项目环保专项验收。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3、严格追究相关责任人责任。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那曲地区交通运输局依法依规完成13个农村公路项目环保专项验收，未通过环保专项验收的农村公路项目，一律不得进行项目交竣工验收。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auto"/>
              <w:rPr>
                <w:rFonts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kern w:val="0"/>
                <w:sz w:val="28"/>
                <w:szCs w:val="28"/>
              </w:rPr>
              <w:t>整改主要工作及成效</w:t>
            </w:r>
          </w:p>
        </w:tc>
        <w:tc>
          <w:tcPr>
            <w:tcW w:w="830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建设单位委托第三方开展环保验收调查，编制13条公路环境保护验收调查报告，11月14日至17日建设单位组织专家在拉萨召开13条公路的环保专项验收审查会议，环保部门对13条农村公路固废和噪声进行了的验收，现13条农村公路已完成环保专项验收。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80EB7"/>
    <w:rsid w:val="00D05C2C"/>
    <w:rsid w:val="54680EB7"/>
    <w:rsid w:val="76B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szCs w:val="24"/>
      <w:lang w:val="en-US" w:eastAsia="zh-CN" w:bidi="bo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2018-12-13T07:57:00Z</dcterms:created>
  <dc:creator>༼吐蕃之子༽</dc:creator>
  <cp:lastModifiedBy>不舍没法</cp:lastModifiedBy>
  <dcterms:modified xsi:type="dcterms:W3CDTF">2018-12-13T10:37:33Z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