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黑体"/>
          <w:sz w:val="44"/>
          <w:szCs w:val="44"/>
          <w:lang w:eastAsia="zh-CN"/>
        </w:rPr>
      </w:pPr>
      <w:r>
        <w:rPr>
          <w:rFonts w:hint="eastAsia" w:ascii="宋体" w:hAnsi="宋体" w:eastAsia="宋体" w:cs="黑体"/>
          <w:sz w:val="44"/>
          <w:szCs w:val="44"/>
        </w:rPr>
        <w:t>那曲市</w:t>
      </w:r>
      <w:r>
        <w:rPr>
          <w:rFonts w:hint="eastAsia" w:ascii="宋体" w:hAnsi="宋体" w:cs="黑体"/>
          <w:sz w:val="44"/>
          <w:szCs w:val="44"/>
          <w:lang w:eastAsia="zh-CN"/>
        </w:rPr>
        <w:t>环境保护局</w:t>
      </w:r>
    </w:p>
    <w:p>
      <w:pPr>
        <w:jc w:val="center"/>
        <w:rPr>
          <w:rFonts w:hint="eastAsia" w:ascii="宋体" w:hAnsi="宋体" w:eastAsia="宋体" w:cs="黑体"/>
          <w:sz w:val="44"/>
          <w:szCs w:val="44"/>
        </w:rPr>
      </w:pPr>
      <w:r>
        <w:rPr>
          <w:rFonts w:hint="eastAsia" w:ascii="宋体" w:hAnsi="宋体" w:cs="黑体"/>
          <w:sz w:val="44"/>
          <w:szCs w:val="44"/>
          <w:lang w:eastAsia="zh-CN"/>
        </w:rPr>
        <w:t>落实自治区第八次</w:t>
      </w:r>
      <w:r>
        <w:rPr>
          <w:rFonts w:hint="eastAsia" w:ascii="宋体" w:hAnsi="宋体" w:eastAsia="宋体" w:cs="黑体"/>
          <w:sz w:val="44"/>
          <w:szCs w:val="44"/>
        </w:rPr>
        <w:t>环保督察反馈意见（</w:t>
      </w:r>
      <w:r>
        <w:rPr>
          <w:rFonts w:hint="eastAsia" w:ascii="宋体" w:hAnsi="宋体" w:cs="黑体"/>
          <w:sz w:val="44"/>
          <w:szCs w:val="44"/>
          <w:lang w:val="en-US" w:eastAsia="zh-CN"/>
        </w:rPr>
        <w:t>02</w:t>
      </w:r>
      <w:r>
        <w:rPr>
          <w:rFonts w:hint="eastAsia" w:ascii="宋体" w:hAnsi="宋体" w:eastAsia="宋体" w:cs="黑体"/>
          <w:sz w:val="44"/>
          <w:szCs w:val="44"/>
        </w:rPr>
        <w:t>-</w:t>
      </w:r>
      <w:r>
        <w:rPr>
          <w:rFonts w:hint="eastAsia" w:ascii="宋体" w:hAnsi="宋体" w:eastAsia="宋体" w:cs="黑体"/>
          <w:sz w:val="44"/>
          <w:szCs w:val="44"/>
          <w:lang w:val="en-US" w:eastAsia="zh-CN"/>
        </w:rPr>
        <w:t>0</w:t>
      </w:r>
      <w:r>
        <w:rPr>
          <w:rFonts w:hint="eastAsia" w:ascii="宋体" w:hAnsi="宋体" w:cs="黑体"/>
          <w:sz w:val="44"/>
          <w:szCs w:val="44"/>
          <w:lang w:val="en-US" w:eastAsia="zh-CN"/>
        </w:rPr>
        <w:t>1</w:t>
      </w:r>
      <w:r>
        <w:rPr>
          <w:rFonts w:hint="eastAsia" w:ascii="宋体" w:hAnsi="宋体" w:eastAsia="宋体" w:cs="黑体"/>
          <w:sz w:val="44"/>
          <w:szCs w:val="44"/>
        </w:rPr>
        <w:t>）整改任务</w:t>
      </w:r>
      <w:r>
        <w:rPr>
          <w:rFonts w:hint="eastAsia" w:ascii="宋体" w:hAnsi="宋体" w:cs="黑体"/>
          <w:sz w:val="44"/>
          <w:szCs w:val="44"/>
          <w:lang w:eastAsia="zh-CN"/>
        </w:rPr>
        <w:t>完成情况</w:t>
      </w:r>
      <w:bookmarkStart w:id="0" w:name="_GoBack"/>
      <w:r>
        <w:rPr>
          <w:rFonts w:hint="eastAsia" w:ascii="宋体" w:hAnsi="宋体" w:cs="黑体"/>
          <w:sz w:val="44"/>
          <w:szCs w:val="44"/>
          <w:lang w:eastAsia="zh-CN"/>
        </w:rPr>
        <w:t>公示</w:t>
      </w:r>
      <w:r>
        <w:rPr>
          <w:rFonts w:hint="eastAsia" w:ascii="宋体" w:hAnsi="宋体" w:eastAsia="宋体" w:cs="黑体"/>
          <w:sz w:val="44"/>
          <w:szCs w:val="44"/>
        </w:rPr>
        <w:t>表</w:t>
      </w:r>
      <w:bookmarkEnd w:id="0"/>
    </w:p>
    <w:tbl>
      <w:tblPr>
        <w:tblStyle w:val="3"/>
        <w:tblW w:w="9736" w:type="dxa"/>
        <w:jc w:val="center"/>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8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9" w:hRule="atLeast"/>
          <w:jc w:val="center"/>
        </w:trPr>
        <w:tc>
          <w:tcPr>
            <w:tcW w:w="1454" w:type="dxa"/>
            <w:noWrap w:val="0"/>
            <w:vAlign w:val="center"/>
          </w:tcPr>
          <w:p>
            <w:pPr>
              <w:jc w:val="center"/>
              <w:rPr>
                <w:rFonts w:hint="eastAsia" w:ascii="宋体" w:hAnsi="宋体" w:eastAsia="宋体" w:cs="黑体"/>
                <w:b/>
                <w:bCs/>
                <w:kern w:val="0"/>
                <w:sz w:val="28"/>
                <w:szCs w:val="28"/>
              </w:rPr>
            </w:pPr>
            <w:r>
              <w:rPr>
                <w:rFonts w:hint="eastAsia" w:ascii="宋体" w:hAnsi="宋体" w:eastAsia="宋体" w:cs="黑体"/>
                <w:b/>
                <w:bCs/>
                <w:kern w:val="0"/>
                <w:sz w:val="28"/>
                <w:szCs w:val="28"/>
              </w:rPr>
              <w:t>反馈</w:t>
            </w:r>
          </w:p>
          <w:p>
            <w:pPr>
              <w:jc w:val="center"/>
              <w:rPr>
                <w:rFonts w:ascii="宋体" w:hAnsi="宋体" w:eastAsia="宋体" w:cs="黑体"/>
                <w:b/>
                <w:bCs/>
                <w:kern w:val="0"/>
                <w:sz w:val="28"/>
                <w:szCs w:val="28"/>
              </w:rPr>
            </w:pPr>
            <w:r>
              <w:rPr>
                <w:rFonts w:hint="eastAsia" w:ascii="宋体" w:hAnsi="宋体" w:eastAsia="宋体" w:cs="黑体"/>
                <w:b/>
                <w:bCs/>
                <w:kern w:val="0"/>
                <w:sz w:val="28"/>
                <w:szCs w:val="28"/>
              </w:rPr>
              <w:t>问题</w:t>
            </w:r>
          </w:p>
        </w:tc>
        <w:tc>
          <w:tcPr>
            <w:tcW w:w="8282" w:type="dxa"/>
            <w:noWrap w:val="0"/>
            <w:vAlign w:val="center"/>
          </w:tcPr>
          <w:p>
            <w:pPr>
              <w:spacing w:line="360" w:lineRule="auto"/>
              <w:jc w:val="left"/>
              <w:rPr>
                <w:rFonts w:ascii="仿宋" w:hAnsi="仿宋" w:eastAsia="仿宋" w:cs="方正仿宋简体"/>
                <w:kern w:val="0"/>
                <w:sz w:val="32"/>
                <w:szCs w:val="32"/>
              </w:rPr>
            </w:pPr>
            <w:r>
              <w:rPr>
                <w:rFonts w:hint="eastAsia" w:ascii="仿宋" w:hAnsi="仿宋" w:eastAsia="仿宋" w:cs="方正仿宋简体"/>
                <w:kern w:val="0"/>
                <w:sz w:val="28"/>
                <w:szCs w:val="28"/>
              </w:rPr>
              <w:t>2018年5月8日，自治区自然保护区领导小组办公室印发《西藏自治区开展“绿盾2018”自然保护区监督检查专项行动工作方案》，要求各地市、各部门于5月31日前将涉自然保护区建设项目排查结果提交自治区自然保护区领导小组办公室，但那曲市人民政府办公室7月12日</w:t>
            </w:r>
            <w:r>
              <w:rPr>
                <w:rFonts w:hint="eastAsia" w:ascii="仿宋" w:hAnsi="仿宋" w:eastAsia="仿宋" w:cs="方正仿宋简体"/>
                <w:kern w:val="0"/>
                <w:sz w:val="28"/>
                <w:szCs w:val="28"/>
                <w:lang w:eastAsia="zh-CN"/>
              </w:rPr>
              <w:t>才</w:t>
            </w:r>
            <w:r>
              <w:rPr>
                <w:rFonts w:hint="eastAsia" w:ascii="仿宋" w:hAnsi="仿宋" w:eastAsia="仿宋" w:cs="方正仿宋简体"/>
                <w:kern w:val="0"/>
                <w:sz w:val="28"/>
                <w:szCs w:val="28"/>
              </w:rPr>
              <w:t>印发《那曲市开展“绿盾2018”自然保护区监督检查专项行动工作方案》，未及时部署相关工作</w:t>
            </w:r>
            <w:r>
              <w:rPr>
                <w:rFonts w:hint="eastAsia" w:ascii="仿宋" w:hAnsi="仿宋" w:eastAsia="仿宋" w:cs="方正仿宋简体"/>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454" w:type="dxa"/>
            <w:noWrap w:val="0"/>
            <w:vAlign w:val="center"/>
          </w:tcPr>
          <w:p>
            <w:pPr>
              <w:jc w:val="center"/>
              <w:rPr>
                <w:rFonts w:hint="eastAsia" w:ascii="宋体" w:hAnsi="宋体" w:eastAsia="宋体" w:cs="黑体"/>
                <w:b/>
                <w:bCs/>
                <w:kern w:val="0"/>
                <w:sz w:val="28"/>
                <w:szCs w:val="28"/>
                <w:lang w:eastAsia="zh-CN"/>
              </w:rPr>
            </w:pPr>
            <w:r>
              <w:rPr>
                <w:rFonts w:hint="eastAsia" w:ascii="宋体" w:hAnsi="宋体" w:cs="黑体"/>
                <w:b/>
                <w:bCs/>
                <w:kern w:val="0"/>
                <w:sz w:val="28"/>
                <w:szCs w:val="28"/>
                <w:lang w:eastAsia="zh-CN"/>
              </w:rPr>
              <w:t>责任单位</w:t>
            </w:r>
          </w:p>
        </w:tc>
        <w:tc>
          <w:tcPr>
            <w:tcW w:w="8282" w:type="dxa"/>
            <w:noWrap w:val="0"/>
            <w:vAlign w:val="center"/>
          </w:tcPr>
          <w:p>
            <w:pPr>
              <w:spacing w:line="360" w:lineRule="auto"/>
              <w:jc w:val="center"/>
              <w:rPr>
                <w:rFonts w:hint="eastAsia" w:ascii="仿宋" w:hAnsi="仿宋" w:eastAsia="仿宋" w:cs="方正仿宋简体"/>
                <w:kern w:val="0"/>
                <w:sz w:val="28"/>
                <w:szCs w:val="28"/>
                <w:lang w:eastAsia="zh-CN"/>
              </w:rPr>
            </w:pPr>
            <w:r>
              <w:rPr>
                <w:rFonts w:hint="eastAsia" w:ascii="仿宋" w:hAnsi="仿宋" w:eastAsia="仿宋" w:cs="方正仿宋简体"/>
                <w:kern w:val="0"/>
                <w:sz w:val="28"/>
                <w:szCs w:val="28"/>
                <w:lang w:eastAsia="zh-CN"/>
              </w:rPr>
              <w:t>市环境保护局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454" w:type="dxa"/>
            <w:noWrap w:val="0"/>
            <w:vAlign w:val="center"/>
          </w:tcPr>
          <w:p>
            <w:pPr>
              <w:jc w:val="center"/>
              <w:rPr>
                <w:rFonts w:hint="eastAsia" w:ascii="宋体" w:hAnsi="宋体" w:eastAsia="宋体" w:cs="黑体"/>
                <w:b/>
                <w:bCs/>
                <w:kern w:val="0"/>
                <w:sz w:val="28"/>
                <w:szCs w:val="28"/>
                <w:lang w:eastAsia="zh-CN"/>
              </w:rPr>
            </w:pPr>
            <w:r>
              <w:rPr>
                <w:rFonts w:hint="eastAsia" w:ascii="宋体" w:hAnsi="宋体" w:cs="黑体"/>
                <w:b/>
                <w:bCs/>
                <w:kern w:val="0"/>
                <w:sz w:val="28"/>
                <w:szCs w:val="28"/>
                <w:lang w:eastAsia="zh-CN"/>
              </w:rPr>
              <w:t>责任人</w:t>
            </w:r>
          </w:p>
        </w:tc>
        <w:tc>
          <w:tcPr>
            <w:tcW w:w="8282" w:type="dxa"/>
            <w:noWrap w:val="0"/>
            <w:vAlign w:val="center"/>
          </w:tcPr>
          <w:p>
            <w:pPr>
              <w:spacing w:line="360" w:lineRule="auto"/>
              <w:jc w:val="center"/>
              <w:rPr>
                <w:rFonts w:hint="eastAsia" w:ascii="仿宋" w:hAnsi="仿宋" w:eastAsia="仿宋" w:cs="方正仿宋简体"/>
                <w:kern w:val="0"/>
                <w:sz w:val="28"/>
                <w:szCs w:val="28"/>
                <w:lang w:eastAsia="zh-CN"/>
              </w:rPr>
            </w:pPr>
            <w:r>
              <w:rPr>
                <w:rFonts w:hint="eastAsia" w:ascii="仿宋" w:hAnsi="仿宋" w:eastAsia="仿宋" w:cs="方正仿宋简体"/>
                <w:kern w:val="0"/>
                <w:sz w:val="28"/>
                <w:szCs w:val="28"/>
                <w:lang w:eastAsia="zh-CN"/>
              </w:rPr>
              <w:t>次仁嘎玛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454" w:type="dxa"/>
            <w:noWrap w:val="0"/>
            <w:vAlign w:val="center"/>
          </w:tcPr>
          <w:p>
            <w:pPr>
              <w:jc w:val="center"/>
              <w:rPr>
                <w:rFonts w:hint="eastAsia" w:ascii="宋体" w:hAnsi="宋体" w:eastAsia="宋体" w:cs="黑体"/>
                <w:b/>
                <w:bCs/>
                <w:kern w:val="0"/>
                <w:sz w:val="28"/>
                <w:szCs w:val="28"/>
                <w:lang w:eastAsia="zh-CN"/>
              </w:rPr>
            </w:pPr>
            <w:r>
              <w:rPr>
                <w:rFonts w:hint="eastAsia" w:ascii="宋体" w:hAnsi="宋体" w:cs="黑体"/>
                <w:b/>
                <w:bCs/>
                <w:kern w:val="0"/>
                <w:sz w:val="28"/>
                <w:szCs w:val="28"/>
                <w:lang w:eastAsia="zh-CN"/>
              </w:rPr>
              <w:t>联系电话</w:t>
            </w:r>
          </w:p>
        </w:tc>
        <w:tc>
          <w:tcPr>
            <w:tcW w:w="8282" w:type="dxa"/>
            <w:noWrap w:val="0"/>
            <w:vAlign w:val="center"/>
          </w:tcPr>
          <w:p>
            <w:pPr>
              <w:spacing w:line="360" w:lineRule="auto"/>
              <w:jc w:val="center"/>
              <w:rPr>
                <w:rFonts w:hint="default" w:ascii="仿宋" w:hAnsi="仿宋" w:eastAsia="仿宋" w:cs="方正仿宋简体"/>
                <w:kern w:val="0"/>
                <w:sz w:val="28"/>
                <w:szCs w:val="28"/>
                <w:lang w:val="en-US" w:eastAsia="zh-CN"/>
              </w:rPr>
            </w:pPr>
            <w:r>
              <w:rPr>
                <w:rFonts w:hint="eastAsia" w:ascii="仿宋" w:hAnsi="仿宋" w:eastAsia="仿宋" w:cs="方正仿宋简体"/>
                <w:kern w:val="0"/>
                <w:sz w:val="28"/>
                <w:szCs w:val="28"/>
                <w:lang w:val="en-US" w:eastAsia="zh-CN"/>
              </w:rPr>
              <w:t>13989062252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1454" w:type="dxa"/>
            <w:noWrap w:val="0"/>
            <w:vAlign w:val="center"/>
          </w:tcPr>
          <w:p>
            <w:pPr>
              <w:jc w:val="center"/>
              <w:rPr>
                <w:rFonts w:ascii="宋体" w:hAnsi="宋体" w:eastAsia="宋体" w:cs="黑体"/>
                <w:b/>
                <w:bCs/>
                <w:kern w:val="0"/>
                <w:sz w:val="28"/>
                <w:szCs w:val="28"/>
              </w:rPr>
            </w:pPr>
            <w:r>
              <w:rPr>
                <w:rFonts w:hint="eastAsia" w:ascii="宋体" w:hAnsi="宋体" w:eastAsia="宋体" w:cs="黑体"/>
                <w:b/>
                <w:bCs/>
                <w:kern w:val="0"/>
                <w:sz w:val="28"/>
                <w:szCs w:val="28"/>
              </w:rPr>
              <w:t>整改目标</w:t>
            </w:r>
          </w:p>
        </w:tc>
        <w:tc>
          <w:tcPr>
            <w:tcW w:w="8282" w:type="dxa"/>
            <w:noWrap w:val="0"/>
            <w:vAlign w:val="bottom"/>
          </w:tcPr>
          <w:p>
            <w:pPr>
              <w:adjustRightInd w:val="0"/>
              <w:snapToGrid w:val="0"/>
              <w:spacing w:line="360" w:lineRule="auto"/>
              <w:jc w:val="both"/>
              <w:rPr>
                <w:rFonts w:hint="eastAsia" w:ascii="仿宋" w:hAnsi="仿宋" w:eastAsia="仿宋" w:cs="方正仿宋简体"/>
                <w:kern w:val="0"/>
                <w:sz w:val="28"/>
                <w:szCs w:val="28"/>
                <w:lang w:eastAsia="zh-CN"/>
              </w:rPr>
            </w:pPr>
            <w:r>
              <w:rPr>
                <w:rFonts w:hint="eastAsia" w:ascii="仿宋" w:hAnsi="仿宋" w:eastAsia="仿宋" w:cs="方正仿宋简体"/>
                <w:kern w:val="0"/>
                <w:sz w:val="28"/>
                <w:szCs w:val="28"/>
              </w:rPr>
              <w:t>2019年7月底前完成13项涉自然保护区问题整改工作。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6" w:hRule="atLeast"/>
          <w:jc w:val="center"/>
        </w:trPr>
        <w:tc>
          <w:tcPr>
            <w:tcW w:w="1454" w:type="dxa"/>
            <w:noWrap w:val="0"/>
            <w:vAlign w:val="center"/>
          </w:tcPr>
          <w:p>
            <w:pPr>
              <w:tabs>
                <w:tab w:val="left" w:pos="515"/>
              </w:tabs>
              <w:jc w:val="center"/>
              <w:rPr>
                <w:rFonts w:ascii="宋体" w:hAnsi="宋体" w:eastAsia="宋体" w:cs="黑体"/>
                <w:b/>
                <w:bCs/>
                <w:kern w:val="0"/>
                <w:sz w:val="28"/>
                <w:szCs w:val="28"/>
              </w:rPr>
            </w:pPr>
            <w:r>
              <w:rPr>
                <w:rFonts w:hint="eastAsia" w:ascii="宋体" w:hAnsi="宋体" w:eastAsia="宋体" w:cs="黑体"/>
                <w:b/>
                <w:bCs/>
                <w:kern w:val="0"/>
                <w:sz w:val="28"/>
                <w:szCs w:val="28"/>
              </w:rPr>
              <w:t>整改措施</w:t>
            </w:r>
          </w:p>
        </w:tc>
        <w:tc>
          <w:tcPr>
            <w:tcW w:w="8282" w:type="dxa"/>
            <w:noWrap w:val="0"/>
            <w:vAlign w:val="center"/>
          </w:tcPr>
          <w:p>
            <w:pPr>
              <w:spacing w:line="360" w:lineRule="auto"/>
              <w:jc w:val="left"/>
              <w:rPr>
                <w:rFonts w:ascii="仿宋" w:hAnsi="仿宋" w:eastAsia="仿宋" w:cs="方正仿宋简体"/>
                <w:kern w:val="0"/>
                <w:sz w:val="32"/>
                <w:szCs w:val="32"/>
              </w:rPr>
            </w:pPr>
            <w:r>
              <w:rPr>
                <w:rFonts w:hint="eastAsia" w:ascii="仿宋" w:hAnsi="仿宋" w:eastAsia="仿宋" w:cs="方正仿宋简体"/>
                <w:kern w:val="0"/>
                <w:sz w:val="28"/>
                <w:szCs w:val="28"/>
              </w:rPr>
              <w:t>市环保局</w:t>
            </w:r>
            <w:r>
              <w:rPr>
                <w:rFonts w:hint="eastAsia" w:ascii="仿宋" w:hAnsi="仿宋" w:eastAsia="仿宋" w:cs="方正仿宋简体"/>
                <w:kern w:val="0"/>
                <w:sz w:val="28"/>
                <w:szCs w:val="28"/>
                <w:lang w:eastAsia="zh-CN"/>
              </w:rPr>
              <w:t>牵头</w:t>
            </w:r>
            <w:r>
              <w:rPr>
                <w:rFonts w:hint="eastAsia" w:ascii="仿宋" w:hAnsi="仿宋" w:eastAsia="仿宋" w:cs="方正仿宋简体"/>
                <w:kern w:val="0"/>
                <w:sz w:val="28"/>
                <w:szCs w:val="28"/>
              </w:rPr>
              <w:t>，各成员单位配合，根据《西藏自治区开展“绿盾2018”自然保护区监督检查专项行动整改方案》，由我市负责整改的13项</w:t>
            </w:r>
            <w:r>
              <w:rPr>
                <w:rFonts w:hint="eastAsia" w:ascii="仿宋" w:hAnsi="仿宋" w:eastAsia="仿宋" w:cs="方正仿宋简体"/>
                <w:kern w:val="0"/>
                <w:sz w:val="28"/>
                <w:szCs w:val="28"/>
                <w:lang w:eastAsia="zh-CN"/>
              </w:rPr>
              <w:t>问题</w:t>
            </w:r>
            <w:r>
              <w:rPr>
                <w:rFonts w:hint="eastAsia" w:ascii="仿宋" w:hAnsi="仿宋" w:eastAsia="仿宋" w:cs="方正仿宋简体"/>
                <w:kern w:val="0"/>
                <w:sz w:val="28"/>
                <w:szCs w:val="28"/>
              </w:rPr>
              <w:t>制定整改方案，细化整改指施，明确整改时限和责任单位（2018年12月31日）。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7" w:hRule="atLeast"/>
          <w:jc w:val="center"/>
        </w:trPr>
        <w:tc>
          <w:tcPr>
            <w:tcW w:w="1454" w:type="dxa"/>
            <w:noWrap w:val="0"/>
            <w:vAlign w:val="center"/>
          </w:tcPr>
          <w:p>
            <w:pPr>
              <w:jc w:val="center"/>
              <w:rPr>
                <w:rFonts w:hint="eastAsia" w:ascii="宋体" w:hAnsi="宋体" w:eastAsia="宋体" w:cs="黑体"/>
                <w:kern w:val="0"/>
                <w:sz w:val="28"/>
                <w:szCs w:val="28"/>
                <w:lang w:eastAsia="zh-CN"/>
              </w:rPr>
            </w:pPr>
            <w:r>
              <w:rPr>
                <w:rFonts w:hint="eastAsia" w:ascii="宋体" w:hAnsi="宋体" w:cs="黑体"/>
                <w:b/>
                <w:bCs/>
                <w:kern w:val="0"/>
                <w:sz w:val="28"/>
                <w:szCs w:val="28"/>
                <w:lang w:eastAsia="zh-CN"/>
              </w:rPr>
              <w:t>整改主要工作及成效</w:t>
            </w:r>
          </w:p>
        </w:tc>
        <w:tc>
          <w:tcPr>
            <w:tcW w:w="8282" w:type="dxa"/>
            <w:noWrap w:val="0"/>
            <w:vAlign w:val="center"/>
          </w:tcPr>
          <w:p>
            <w:pPr>
              <w:spacing w:line="360" w:lineRule="auto"/>
              <w:jc w:val="left"/>
              <w:rPr>
                <w:rFonts w:hint="default" w:ascii="仿宋" w:hAnsi="仿宋" w:eastAsia="仿宋" w:cs="方正仿宋简体"/>
                <w:kern w:val="0"/>
                <w:sz w:val="32"/>
                <w:szCs w:val="32"/>
                <w:lang w:val="en-US" w:eastAsia="zh-CN"/>
              </w:rPr>
            </w:pPr>
            <w:r>
              <w:rPr>
                <w:rFonts w:hint="eastAsia" w:ascii="仿宋" w:hAnsi="仿宋" w:eastAsia="仿宋" w:cs="方正仿宋简体"/>
                <w:kern w:val="0"/>
                <w:sz w:val="28"/>
                <w:szCs w:val="28"/>
                <w:lang w:val="en-US" w:eastAsia="zh-CN"/>
              </w:rPr>
              <w:t>2018年9月8日编制《那曲市“绿盾2018”自然保护区监督检查专项行动整改方案》，9月10日，以那曲市自然保护区领导小组办公室名义发文。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B39D2"/>
    <w:rsid w:val="63FB39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Unicode MS"/>
      <w:kern w:val="2"/>
      <w:sz w:val="21"/>
      <w:szCs w:val="24"/>
      <w:lang w:val="en-US" w:eastAsia="zh-CN" w:bidi="bo-CN"/>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2019-04-11T08:42:00Z</dcterms:created>
  <dc:creator>Administrator</dc:creator>
  <cp:lastModifiedBy>Administrator</cp:lastModifiedBy>
  <dcterms:modified xsi:type="dcterms:W3CDTF">2019-04-11T08:42:32Z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