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b/>
          <w:sz w:val="52"/>
          <w:szCs w:val="52"/>
          <w:lang w:eastAsia="zh-CN"/>
        </w:rPr>
      </w:pPr>
    </w:p>
    <w:p>
      <w:pPr>
        <w:spacing w:line="640" w:lineRule="exact"/>
        <w:jc w:val="center"/>
        <w:rPr>
          <w:rFonts w:hint="eastAsia" w:ascii="黑体" w:eastAsia="黑体"/>
          <w:b/>
          <w:sz w:val="52"/>
          <w:szCs w:val="52"/>
        </w:rPr>
      </w:pPr>
      <w:r>
        <w:rPr>
          <w:rFonts w:hint="eastAsia" w:ascii="黑体" w:eastAsia="黑体"/>
          <w:b/>
          <w:sz w:val="52"/>
          <w:szCs w:val="52"/>
          <w:lang w:eastAsia="zh-CN"/>
        </w:rPr>
        <w:t>那曲市市政市容管理委员会</w:t>
      </w:r>
      <w:r>
        <w:rPr>
          <w:rFonts w:hint="eastAsia" w:ascii="黑体" w:eastAsia="黑体"/>
          <w:b/>
          <w:sz w:val="52"/>
          <w:szCs w:val="52"/>
          <w:lang w:val="en-US" w:eastAsia="zh-CN"/>
        </w:rPr>
        <w:t>2017</w:t>
      </w:r>
      <w:r>
        <w:rPr>
          <w:rFonts w:hint="eastAsia" w:ascii="黑体" w:eastAsia="黑体"/>
          <w:b/>
          <w:sz w:val="52"/>
          <w:szCs w:val="52"/>
        </w:rPr>
        <w:t>年度部门</w:t>
      </w:r>
      <w:r>
        <w:rPr>
          <w:rFonts w:hint="eastAsia" w:ascii="黑体" w:eastAsia="黑体"/>
          <w:b/>
          <w:sz w:val="52"/>
          <w:szCs w:val="52"/>
          <w:lang w:eastAsia="zh-CN"/>
        </w:rPr>
        <w:t>决算</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ascii="宋体" w:hAnsi="宋体"/>
          <w:sz w:val="32"/>
          <w:szCs w:val="32"/>
          <w:u w:val="single"/>
        </w:rPr>
      </w:pP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2018</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06</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01</w:t>
      </w:r>
      <w:r>
        <w:rPr>
          <w:rFonts w:hint="eastAsia" w:ascii="宋体" w:hAnsi="宋体"/>
          <w:sz w:val="32"/>
          <w:szCs w:val="32"/>
          <w:u w:val="single"/>
        </w:rPr>
        <w:t xml:space="preserve"> 日</w:t>
      </w:r>
    </w:p>
    <w:p>
      <w:pPr>
        <w:rPr>
          <w:rFonts w:hint="eastAsia"/>
          <w:sz w:val="44"/>
          <w:szCs w:val="44"/>
        </w:rPr>
      </w:pPr>
    </w:p>
    <w:p>
      <w:pPr>
        <w:rPr>
          <w:rFonts w:hint="eastAsia"/>
          <w:sz w:val="44"/>
          <w:szCs w:val="44"/>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w:t>
      </w:r>
      <w:r>
        <w:rPr>
          <w:rFonts w:hint="eastAsia" w:ascii="黑体" w:hAnsi="宋体" w:eastAsia="黑体"/>
          <w:sz w:val="32"/>
          <w:szCs w:val="32"/>
          <w:lang w:eastAsia="zh-CN"/>
        </w:rPr>
        <w:t>那曲市市政市容管理委员会</w:t>
      </w:r>
      <w:r>
        <w:rPr>
          <w:rFonts w:hint="eastAsia" w:ascii="黑体" w:hAnsi="宋体" w:eastAsia="黑体"/>
          <w:sz w:val="32"/>
          <w:szCs w:val="32"/>
        </w:rPr>
        <w:t>概况</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一、部门职责</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二、机构设置情况</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eastAsia="zh-CN"/>
        </w:rPr>
        <w:t>那曲市市政市容管理委员会</w:t>
      </w:r>
      <w:r>
        <w:rPr>
          <w:rFonts w:hint="eastAsia" w:ascii="黑体" w:hAnsi="宋体" w:eastAsia="黑体"/>
          <w:sz w:val="32"/>
          <w:szCs w:val="32"/>
          <w:lang w:val="en-US" w:eastAsia="zh-CN"/>
        </w:rPr>
        <w:t>2017</w:t>
      </w:r>
      <w:r>
        <w:rPr>
          <w:rFonts w:hint="eastAsia" w:ascii="黑体" w:hAnsi="宋体" w:eastAsia="黑体"/>
          <w:sz w:val="32"/>
          <w:szCs w:val="32"/>
        </w:rPr>
        <w:t>年度部门</w:t>
      </w:r>
      <w:r>
        <w:rPr>
          <w:rFonts w:hint="eastAsia" w:ascii="黑体" w:hAnsi="宋体" w:eastAsia="黑体"/>
          <w:sz w:val="32"/>
          <w:szCs w:val="32"/>
          <w:lang w:eastAsia="zh-CN"/>
        </w:rPr>
        <w:t>决算</w:t>
      </w:r>
      <w:r>
        <w:rPr>
          <w:rFonts w:hint="eastAsia" w:ascii="黑体" w:hAnsi="宋体" w:eastAsia="黑体"/>
          <w:sz w:val="32"/>
          <w:szCs w:val="32"/>
        </w:rPr>
        <w:t>明细表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一、财政拨款收支总表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二、一般公共预算支出表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三、一般公共预算基本支出表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四、一般公共预算“三公”经费支出表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五、政府性基金预算支出表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六、部门收支总表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七、部门收入总表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那曲市市政市容管理委员会</w:t>
      </w:r>
      <w:r>
        <w:rPr>
          <w:rFonts w:hint="eastAsia" w:ascii="黑体" w:hAnsi="宋体" w:eastAsia="黑体"/>
          <w:sz w:val="32"/>
          <w:szCs w:val="32"/>
          <w:lang w:val="en-US" w:eastAsia="zh-CN"/>
        </w:rPr>
        <w:t>2017</w:t>
      </w:r>
      <w:r>
        <w:rPr>
          <w:rFonts w:hint="eastAsia" w:ascii="黑体" w:hAnsi="宋体" w:eastAsia="黑体"/>
          <w:sz w:val="32"/>
          <w:szCs w:val="32"/>
        </w:rPr>
        <w:t>年度部门</w:t>
      </w:r>
      <w:r>
        <w:rPr>
          <w:rFonts w:hint="eastAsia" w:ascii="黑体" w:hAnsi="宋体" w:eastAsia="黑体"/>
          <w:sz w:val="32"/>
          <w:szCs w:val="32"/>
          <w:lang w:eastAsia="zh-CN"/>
        </w:rPr>
        <w:t>决</w:t>
      </w:r>
      <w:r>
        <w:rPr>
          <w:rFonts w:hint="eastAsia" w:ascii="黑体" w:hAnsi="宋体" w:eastAsia="黑体"/>
          <w:sz w:val="32"/>
          <w:szCs w:val="32"/>
        </w:rPr>
        <w:t>算情况说明</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第一部分 </w:t>
      </w:r>
    </w:p>
    <w:p>
      <w:pPr>
        <w:spacing w:line="460" w:lineRule="exact"/>
        <w:jc w:val="center"/>
        <w:rPr>
          <w:rFonts w:hint="eastAsia" w:ascii="黑体" w:hAnsi="宋体" w:eastAsia="黑体"/>
          <w:sz w:val="44"/>
          <w:szCs w:val="44"/>
        </w:rPr>
      </w:pPr>
    </w:p>
    <w:p>
      <w:pPr>
        <w:spacing w:line="460" w:lineRule="exact"/>
        <w:jc w:val="center"/>
        <w:rPr>
          <w:rFonts w:hint="eastAsia" w:ascii="黑体" w:hAnsi="宋体" w:eastAsia="黑体"/>
          <w:sz w:val="44"/>
          <w:szCs w:val="44"/>
        </w:rPr>
      </w:pPr>
      <w:r>
        <w:rPr>
          <w:rFonts w:hint="eastAsia" w:ascii="黑体" w:hAnsi="宋体" w:eastAsia="黑体"/>
          <w:sz w:val="44"/>
          <w:szCs w:val="44"/>
          <w:lang w:eastAsia="zh-CN"/>
        </w:rPr>
        <w:t>那曲市市政市容管理委员会</w:t>
      </w:r>
      <w:r>
        <w:rPr>
          <w:rFonts w:hint="eastAsia" w:ascii="黑体" w:hAnsi="宋体" w:eastAsia="黑体"/>
          <w:sz w:val="44"/>
          <w:szCs w:val="44"/>
        </w:rPr>
        <w:t>概况</w:t>
      </w:r>
    </w:p>
    <w:p>
      <w:pPr>
        <w:spacing w:line="460" w:lineRule="exact"/>
        <w:jc w:val="center"/>
        <w:rPr>
          <w:rFonts w:hint="eastAsia" w:ascii="黑体" w:hAnsi="宋体" w:eastAsia="黑体"/>
          <w:sz w:val="48"/>
          <w:szCs w:val="48"/>
        </w:rPr>
      </w:pPr>
    </w:p>
    <w:p>
      <w:pPr>
        <w:ind w:firstLine="630" w:firstLineChars="196"/>
        <w:rPr>
          <w:rFonts w:hint="eastAsia"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ind w:firstLine="627" w:firstLineChars="196"/>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我单位为一级预算单位</w:t>
      </w:r>
    </w:p>
    <w:p>
      <w:pPr>
        <w:ind w:firstLine="630" w:firstLineChars="196"/>
        <w:rPr>
          <w:rFonts w:hint="eastAsia" w:ascii="黑体" w:hAnsi="宋体" w:eastAsia="黑体"/>
          <w:b/>
          <w:sz w:val="32"/>
          <w:szCs w:val="32"/>
        </w:rPr>
      </w:pPr>
      <w:r>
        <w:rPr>
          <w:rFonts w:hint="eastAsia" w:ascii="黑体" w:hAnsi="宋体" w:eastAsia="黑体"/>
          <w:b/>
          <w:sz w:val="32"/>
          <w:szCs w:val="32"/>
        </w:rPr>
        <w:t>二、部门</w:t>
      </w:r>
      <w:r>
        <w:rPr>
          <w:rFonts w:ascii="黑体" w:hAnsi="宋体" w:eastAsia="黑体"/>
          <w:b/>
          <w:sz w:val="32"/>
          <w:szCs w:val="32"/>
        </w:rPr>
        <w:t>职责和</w:t>
      </w:r>
      <w:r>
        <w:rPr>
          <w:rFonts w:hint="eastAsia" w:ascii="黑体" w:hAnsi="宋体" w:eastAsia="黑体"/>
          <w:b/>
          <w:sz w:val="32"/>
          <w:szCs w:val="32"/>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1.贯彻执行国家、自治区和地区有关城市管理和城市综合执法方面的方针政策和法律法规；研究制订那曲地区城市管理方面的地方性法规、政府规章草案，组织拟订相关政策和规范，并监督实施。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2.贯彻执行国家、自治区和地区行政处罚权工作的相关规定，根据国家有关法律、法规和规章，组织起草城市管理相关行政处罚的实施细则，并组织实施。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3.组织拟订并实施城市管理的发展战略、中长期规划和年度计划；组织编制并实施市政设施、公用事业、市容景观、环境卫生等专项规划和行业发展规划。</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4.研究拟订市政公用事业发展规划和年度项目计划并组织实施；负责城市公共环卫设施的建设规划并具体承担城市燃气、城市路灯、市政设施、生活垃圾站、城市公厕建设与维护管理。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5.拟订城市综合执法工作年度计划、阶段性安排并督促、检查、落实；组织城市管理专项执法活动和重大执法活动。</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负责市政设施、公用事业、市容景观、环境卫生、城市河道、户外广告、渣土的行政审批和监管工作；协调流浪牲畜的监管工作；负责指导和管理垃圾分类工作；负责城市基础设施建成移交后的日常管养和维修监管工作；负责审批城市道路挖掘申请，并对路面回填恢复工作进行监督检查；参与城市基础设施管理相关建设项目的规划定点、方案、设计、竣工验收等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7.承担审批和管理地下管线、给排水管道、消防地下管道、输油气地下管道等城市地下设施及井盖设施、消防栓、架空杆线的责任。</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8.研究编制城区园林绿化建设规划、项目计划和年度计划并组织实施。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负责城市市容的管理与整治；组织协调落实重点区域、重点街道、河道的景观建设与治理；组织协调、管理城市道路公共服务设施的设置；负责城市户外广告、牌匾标语、占道的审批与管理；负责城市照明管理；负责市容环境综合整治。</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10.行使城市绿化管理方面法律、法规、规章规定的行政处罚权。</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11.行使市政管理方面法律、法规、规章规定的行政处罚权。</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12负责参与主城区防汛和抗雪等自然灾害的处置工作；负责制定城市管理突发公共事件应急预案，并组织实施。</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行使环境保护管理方面法律、法规、规章规定对那曲镇规划区范围内制造社会生活噪声污染行为、焚烧产生有毒有害烟尘和恶臭气体等行为的行政处罚权。</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行使工商行政管理面法律、法规、规章规定对侵占城市道路和公共广场无照经营行为的行政处罚权。</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行使公安交通管理方面法律、法规、规章规定的对侵占城市道路和公共广场行为的行政处罚权。</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承担那曲镇规划区范围的国土资源监察和组织查处违法案件职责。</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负责受理城市管理和城市综合执法中的投诉、应诉和行政复议工作。</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中华人民共和国人民防空法》等法律、法规的组织实施和监督检查；组织编制城市综合防护建设发展，人民防空建设等规划，负责拟定本地区人民防空事业的中长期发展规划，编制人民防空工作年度计划；负责建设和管理人民防空设施；负责做好与国民经济和社会发展、土地利用、城乡建设、专项规划等规划的统筹衔接。组织开展人民防空宣传教育和培训；负责管理人民防空经费和资产。</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承办地区行署和上级交办的其他事项。</w:t>
      </w:r>
    </w:p>
    <w:p>
      <w:pPr>
        <w:ind w:firstLine="640" w:firstLineChars="200"/>
        <w:rPr>
          <w:rFonts w:hint="eastAsia" w:ascii="仿宋_GB2312" w:eastAsia="仿宋_GB2312"/>
          <w:sz w:val="32"/>
          <w:szCs w:val="32"/>
        </w:rPr>
      </w:pPr>
      <w:r>
        <w:rPr>
          <w:rFonts w:hint="eastAsia" w:ascii="仿宋_GB2312" w:eastAsia="仿宋_GB2312"/>
          <w:sz w:val="32"/>
          <w:szCs w:val="32"/>
        </w:rPr>
        <w:t>（二）部门机构设置。</w:t>
      </w:r>
    </w:p>
    <w:p>
      <w:pPr>
        <w:ind w:firstLine="803"/>
        <w:rPr>
          <w:rFonts w:hint="eastAsia" w:ascii="仿宋_GB2312" w:eastAsia="仿宋_GB2312"/>
          <w:sz w:val="32"/>
          <w:szCs w:val="32"/>
          <w:lang w:val="en-US" w:eastAsia="zh-CN"/>
        </w:rPr>
      </w:pPr>
      <w:r>
        <w:rPr>
          <w:rFonts w:hint="eastAsia" w:ascii="仿宋_GB2312" w:eastAsia="仿宋_GB2312"/>
          <w:sz w:val="32"/>
          <w:szCs w:val="32"/>
          <w:lang w:val="en-US" w:eastAsia="zh-CN"/>
        </w:rPr>
        <w:t>1.办公室   2.市政公用管理科   3市容管理科   4城市执法监察大队   5城市环卫队    6市政维护队   7人防指挥信息保障中心  8自来水供应管理站   9污水处理中心。</w:t>
      </w:r>
    </w:p>
    <w:p>
      <w:pPr>
        <w:ind w:firstLine="803"/>
        <w:rPr>
          <w:rFonts w:hint="eastAsia" w:ascii="仿宋_GB2312" w:eastAsia="仿宋_GB2312"/>
          <w:sz w:val="32"/>
          <w:szCs w:val="32"/>
          <w:lang w:val="en-US" w:eastAsia="zh-CN"/>
        </w:rPr>
      </w:pPr>
    </w:p>
    <w:p>
      <w:pPr>
        <w:spacing w:line="460" w:lineRule="exact"/>
        <w:ind w:firstLine="3080" w:firstLineChars="700"/>
        <w:jc w:val="both"/>
        <w:rPr>
          <w:rFonts w:hint="eastAsia" w:ascii="黑体" w:hAnsi="宋体" w:eastAsia="黑体"/>
          <w:sz w:val="44"/>
          <w:szCs w:val="44"/>
        </w:rPr>
      </w:pPr>
    </w:p>
    <w:p>
      <w:pPr>
        <w:spacing w:line="460" w:lineRule="exact"/>
        <w:ind w:firstLine="3080" w:firstLineChars="700"/>
        <w:jc w:val="both"/>
        <w:rPr>
          <w:rFonts w:hint="eastAsia" w:ascii="黑体" w:hAnsi="宋体" w:eastAsia="黑体"/>
          <w:sz w:val="44"/>
          <w:szCs w:val="44"/>
        </w:rPr>
      </w:pPr>
    </w:p>
    <w:p>
      <w:pPr>
        <w:spacing w:line="460" w:lineRule="exact"/>
        <w:ind w:firstLine="3080" w:firstLineChars="700"/>
        <w:jc w:val="both"/>
        <w:rPr>
          <w:rFonts w:hint="eastAsia" w:ascii="黑体" w:hAnsi="宋体" w:eastAsia="黑体"/>
          <w:sz w:val="44"/>
          <w:szCs w:val="44"/>
        </w:rPr>
      </w:pPr>
      <w:r>
        <w:rPr>
          <w:rFonts w:hint="eastAsia" w:ascii="黑体" w:hAnsi="宋体" w:eastAsia="黑体"/>
          <w:sz w:val="44"/>
          <w:szCs w:val="44"/>
        </w:rPr>
        <w:t>第二部分</w:t>
      </w:r>
    </w:p>
    <w:p>
      <w:pPr>
        <w:spacing w:line="460" w:lineRule="exact"/>
        <w:jc w:val="center"/>
        <w:rPr>
          <w:rFonts w:hint="eastAsia" w:ascii="黑体" w:hAnsi="宋体" w:eastAsia="黑体"/>
          <w:sz w:val="44"/>
          <w:szCs w:val="44"/>
        </w:rPr>
      </w:pPr>
    </w:p>
    <w:p>
      <w:pPr>
        <w:spacing w:line="460" w:lineRule="exact"/>
        <w:jc w:val="center"/>
        <w:rPr>
          <w:rFonts w:hint="eastAsia" w:ascii="黑体" w:eastAsia="黑体"/>
          <w:sz w:val="44"/>
          <w:szCs w:val="44"/>
        </w:rPr>
      </w:pPr>
      <w:r>
        <w:rPr>
          <w:rFonts w:hint="eastAsia" w:ascii="黑体" w:hAnsi="宋体" w:eastAsia="黑体"/>
          <w:sz w:val="44"/>
          <w:szCs w:val="44"/>
          <w:lang w:eastAsia="zh-CN"/>
        </w:rPr>
        <w:t>那曲地区市政市容管理委员会</w:t>
      </w:r>
      <w:r>
        <w:rPr>
          <w:rFonts w:ascii="黑体" w:hAnsi="宋体" w:eastAsia="黑体"/>
          <w:sz w:val="44"/>
          <w:szCs w:val="44"/>
        </w:rPr>
        <w:t>201</w:t>
      </w:r>
      <w:r>
        <w:rPr>
          <w:rFonts w:hint="eastAsia" w:ascii="黑体" w:hAnsi="宋体" w:eastAsia="黑体"/>
          <w:sz w:val="44"/>
          <w:szCs w:val="44"/>
          <w:lang w:val="en-US" w:eastAsia="zh-CN"/>
        </w:rPr>
        <w:t>7</w:t>
      </w:r>
      <w:r>
        <w:rPr>
          <w:rFonts w:hint="eastAsia" w:ascii="黑体" w:hAnsi="宋体" w:eastAsia="黑体"/>
          <w:sz w:val="44"/>
          <w:szCs w:val="44"/>
        </w:rPr>
        <w:t>年度</w:t>
      </w:r>
      <w:r>
        <w:rPr>
          <w:rFonts w:hint="eastAsia" w:ascii="黑体" w:hAnsi="宋体" w:eastAsia="黑体"/>
          <w:sz w:val="44"/>
          <w:szCs w:val="44"/>
          <w:lang w:eastAsia="zh-CN"/>
        </w:rPr>
        <w:t>决</w:t>
      </w:r>
      <w:r>
        <w:rPr>
          <w:rFonts w:hint="eastAsia" w:ascii="黑体" w:hAnsi="宋体" w:eastAsia="黑体"/>
          <w:sz w:val="44"/>
          <w:szCs w:val="44"/>
        </w:rPr>
        <w:t>算明细表</w:t>
      </w:r>
    </w:p>
    <w:p>
      <w:pPr>
        <w:spacing w:before="156" w:beforeLines="50" w:after="156" w:afterLines="50"/>
        <w:jc w:val="center"/>
        <w:rPr>
          <w:rFonts w:hint="eastAsia" w:ascii="黑体" w:eastAsia="黑体"/>
          <w:sz w:val="32"/>
          <w:szCs w:val="32"/>
        </w:rPr>
      </w:pPr>
      <w:r>
        <w:rPr>
          <w:rFonts w:hint="eastAsia" w:ascii="黑体" w:eastAsia="黑体"/>
          <w:sz w:val="32"/>
          <w:szCs w:val="32"/>
        </w:rPr>
        <w:t>（表格详见附件）</w:t>
      </w: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line="460" w:lineRule="exact"/>
        <w:jc w:val="both"/>
        <w:rPr>
          <w:rFonts w:hint="eastAsia" w:ascii="黑体" w:eastAsia="黑体"/>
          <w:sz w:val="32"/>
          <w:szCs w:val="32"/>
        </w:rPr>
      </w:pPr>
    </w:p>
    <w:p>
      <w:pPr>
        <w:spacing w:before="156" w:beforeLines="50" w:after="156" w:afterLines="50"/>
        <w:jc w:val="center"/>
        <w:rPr>
          <w:rFonts w:hint="eastAsia" w:ascii="黑体" w:eastAsia="黑体"/>
          <w:sz w:val="32"/>
          <w:szCs w:val="32"/>
        </w:rPr>
      </w:pPr>
    </w:p>
    <w:p>
      <w:pPr>
        <w:spacing w:before="156" w:beforeLines="50" w:after="156" w:afterLines="50"/>
        <w:jc w:val="center"/>
        <w:rPr>
          <w:rFonts w:hint="eastAsia" w:ascii="黑体" w:eastAsia="黑体"/>
          <w:sz w:val="32"/>
          <w:szCs w:val="32"/>
        </w:rPr>
      </w:pPr>
    </w:p>
    <w:p>
      <w:pPr>
        <w:jc w:val="both"/>
        <w:rPr>
          <w:rFonts w:hint="eastAsia" w:ascii="黑体" w:hAnsi="宋体" w:eastAsia="黑体"/>
          <w:sz w:val="48"/>
          <w:szCs w:val="48"/>
        </w:rPr>
      </w:pPr>
    </w:p>
    <w:p>
      <w:pPr>
        <w:jc w:val="center"/>
        <w:rPr>
          <w:rFonts w:hint="eastAsia" w:ascii="黑体" w:hAnsi="宋体" w:eastAsia="黑体"/>
          <w:sz w:val="48"/>
          <w:szCs w:val="48"/>
        </w:rPr>
      </w:pPr>
      <w:r>
        <w:rPr>
          <w:rFonts w:hint="eastAsia" w:ascii="黑体" w:hAnsi="宋体" w:eastAsia="黑体"/>
          <w:sz w:val="48"/>
          <w:szCs w:val="48"/>
        </w:rPr>
        <w:t>第三部分</w:t>
      </w:r>
    </w:p>
    <w:p>
      <w:pPr>
        <w:jc w:val="center"/>
        <w:rPr>
          <w:rFonts w:hint="eastAsia" w:ascii="黑体" w:hAnsi="宋体" w:eastAsia="黑体"/>
          <w:sz w:val="48"/>
          <w:szCs w:val="48"/>
        </w:rPr>
      </w:pPr>
    </w:p>
    <w:p>
      <w:pPr>
        <w:jc w:val="center"/>
        <w:rPr>
          <w:rFonts w:hint="eastAsia" w:ascii="黑体" w:hAnsi="宋体" w:eastAsia="黑体"/>
          <w:sz w:val="48"/>
          <w:szCs w:val="48"/>
        </w:rPr>
      </w:pPr>
      <w:r>
        <w:rPr>
          <w:rFonts w:hint="eastAsia" w:ascii="黑体" w:hAnsi="宋体" w:eastAsia="黑体"/>
          <w:sz w:val="48"/>
          <w:szCs w:val="48"/>
          <w:lang w:eastAsia="zh-CN"/>
        </w:rPr>
        <w:t>那曲市政市容管理委员会</w:t>
      </w:r>
      <w:r>
        <w:rPr>
          <w:rFonts w:hint="eastAsia" w:ascii="黑体" w:hAnsi="宋体" w:eastAsia="黑体"/>
          <w:sz w:val="48"/>
          <w:szCs w:val="48"/>
          <w:lang w:val="en-US" w:eastAsia="zh-CN"/>
        </w:rPr>
        <w:t>2017</w:t>
      </w:r>
      <w:r>
        <w:rPr>
          <w:rFonts w:hint="eastAsia" w:ascii="黑体" w:hAnsi="宋体" w:eastAsia="黑体"/>
          <w:sz w:val="48"/>
          <w:szCs w:val="48"/>
        </w:rPr>
        <w:t>年度</w:t>
      </w:r>
    </w:p>
    <w:p>
      <w:pPr>
        <w:jc w:val="center"/>
        <w:rPr>
          <w:rFonts w:hint="eastAsia" w:ascii="黑体" w:hAnsi="宋体" w:eastAsia="黑体"/>
          <w:sz w:val="48"/>
          <w:szCs w:val="48"/>
        </w:rPr>
      </w:pPr>
      <w:r>
        <w:rPr>
          <w:rFonts w:hint="eastAsia" w:ascii="黑体" w:hAnsi="宋体" w:eastAsia="黑体"/>
          <w:sz w:val="48"/>
          <w:szCs w:val="48"/>
          <w:lang w:eastAsia="zh-CN"/>
        </w:rPr>
        <w:t>决算</w:t>
      </w:r>
      <w:r>
        <w:rPr>
          <w:rFonts w:hint="eastAsia" w:ascii="黑体" w:hAnsi="宋体" w:eastAsia="黑体"/>
          <w:sz w:val="48"/>
          <w:szCs w:val="48"/>
        </w:rPr>
        <w:t>情况说明</w:t>
      </w:r>
    </w:p>
    <w:p>
      <w:pPr>
        <w:ind w:firstLine="960" w:firstLineChars="300"/>
        <w:rPr>
          <w:rFonts w:hint="eastAsia" w:ascii="黑体" w:hAnsi="宋体" w:eastAsia="黑体"/>
          <w:sz w:val="32"/>
          <w:szCs w:val="32"/>
        </w:rPr>
      </w:pPr>
      <w:r>
        <w:rPr>
          <w:rFonts w:hint="eastAsia" w:ascii="黑体" w:hAnsi="宋体" w:eastAsia="黑体"/>
          <w:sz w:val="32"/>
          <w:szCs w:val="32"/>
        </w:rPr>
        <w:t>一、   年度财政拨款收支</w:t>
      </w:r>
      <w:r>
        <w:rPr>
          <w:rFonts w:hint="eastAsia" w:ascii="黑体" w:hAnsi="宋体" w:eastAsia="黑体"/>
          <w:sz w:val="32"/>
          <w:szCs w:val="32"/>
          <w:lang w:eastAsia="zh-CN"/>
        </w:rPr>
        <w:t>决算</w:t>
      </w:r>
      <w:r>
        <w:rPr>
          <w:rFonts w:hint="eastAsia" w:ascii="黑体" w:hAnsi="宋体" w:eastAsia="黑体"/>
          <w:sz w:val="32"/>
          <w:szCs w:val="32"/>
        </w:rPr>
        <w:t>情况总体说明</w:t>
      </w:r>
    </w:p>
    <w:p>
      <w:pPr>
        <w:ind w:firstLine="627" w:firstLineChars="196"/>
        <w:rPr>
          <w:rFonts w:hint="eastAsia" w:ascii="黑体" w:hAnsi="宋体" w:eastAsia="楷体_GB2312"/>
          <w:sz w:val="32"/>
          <w:szCs w:val="32"/>
          <w:lang w:val="en-US" w:eastAsia="zh-CN"/>
        </w:rPr>
      </w:pPr>
      <w:r>
        <w:rPr>
          <w:rFonts w:hint="eastAsia" w:ascii="黑体" w:hAnsi="宋体" w:eastAsia="黑体"/>
          <w:sz w:val="32"/>
          <w:szCs w:val="32"/>
        </w:rPr>
        <w:t xml:space="preserve">     </w:t>
      </w:r>
      <w:r>
        <w:rPr>
          <w:rFonts w:hint="eastAsia" w:ascii="楷体_GB2312" w:eastAsia="楷体_GB2312"/>
          <w:sz w:val="32"/>
          <w:szCs w:val="32"/>
        </w:rPr>
        <w:t xml:space="preserve">  </w:t>
      </w:r>
      <w:r>
        <w:rPr>
          <w:rFonts w:hint="eastAsia" w:ascii="楷体_GB2312" w:eastAsia="楷体_GB2312"/>
          <w:sz w:val="32"/>
          <w:szCs w:val="32"/>
          <w:lang w:val="en-US" w:eastAsia="zh-CN"/>
        </w:rPr>
        <w:t>2017年财政拨款收入6794.78万元。支出6124.36万元、其中基本支出2209.9万元、项目支出3914.37万元、年末结转结余670.42万元。</w:t>
      </w:r>
    </w:p>
    <w:p>
      <w:pPr>
        <w:ind w:firstLine="627" w:firstLineChars="196"/>
        <w:rPr>
          <w:rFonts w:hint="eastAsia" w:ascii="黑体" w:hAnsi="宋体" w:eastAsia="黑体"/>
          <w:sz w:val="32"/>
          <w:szCs w:val="32"/>
        </w:rPr>
      </w:pPr>
      <w:r>
        <w:rPr>
          <w:rFonts w:hint="eastAsia" w:ascii="黑体" w:hAnsi="宋体" w:eastAsia="黑体"/>
          <w:sz w:val="32"/>
          <w:szCs w:val="32"/>
        </w:rPr>
        <w:t>二、   年度一般公共预算当年财政拨款</w:t>
      </w:r>
      <w:r>
        <w:rPr>
          <w:rFonts w:hint="eastAsia" w:ascii="黑体" w:hAnsi="宋体" w:eastAsia="黑体"/>
          <w:sz w:val="32"/>
          <w:szCs w:val="32"/>
          <w:lang w:eastAsia="zh-CN"/>
        </w:rPr>
        <w:t>决算</w:t>
      </w:r>
      <w:r>
        <w:rPr>
          <w:rFonts w:hint="eastAsia" w:ascii="黑体" w:hAnsi="宋体" w:eastAsia="黑体"/>
          <w:sz w:val="32"/>
          <w:szCs w:val="32"/>
        </w:rPr>
        <w:t>情况说明</w:t>
      </w:r>
    </w:p>
    <w:p>
      <w:pPr>
        <w:ind w:firstLine="627" w:firstLineChars="196"/>
        <w:rPr>
          <w:rFonts w:hint="eastAsia" w:ascii="楷体_GB2312" w:eastAsia="楷体_GB2312"/>
          <w:sz w:val="32"/>
          <w:szCs w:val="32"/>
        </w:rPr>
      </w:pPr>
      <w:r>
        <w:rPr>
          <w:rFonts w:hint="eastAsia" w:ascii="楷体_GB2312" w:eastAsia="楷体_GB2312"/>
          <w:sz w:val="32"/>
          <w:szCs w:val="32"/>
        </w:rPr>
        <w:t>（一）一般公共预算当年财政拨款规模变化情况</w:t>
      </w:r>
    </w:p>
    <w:p>
      <w:pPr>
        <w:ind w:firstLine="627" w:firstLineChars="196"/>
        <w:rPr>
          <w:rFonts w:hint="eastAsia" w:ascii="楷体_GB2312" w:eastAsia="楷体_GB2312"/>
          <w:sz w:val="32"/>
          <w:szCs w:val="32"/>
          <w:lang w:eastAsia="zh-CN"/>
        </w:rPr>
      </w:pPr>
      <w:r>
        <w:rPr>
          <w:rFonts w:hint="eastAsia" w:ascii="楷体_GB2312" w:eastAsia="楷体_GB2312"/>
          <w:sz w:val="32"/>
          <w:szCs w:val="32"/>
          <w:lang w:eastAsia="zh-CN"/>
        </w:rPr>
        <w:t>我单位上年无决算。</w:t>
      </w:r>
    </w:p>
    <w:p>
      <w:pPr>
        <w:numPr>
          <w:ilvl w:val="0"/>
          <w:numId w:val="2"/>
        </w:numPr>
        <w:ind w:firstLine="627" w:firstLineChars="196"/>
        <w:rPr>
          <w:rFonts w:hint="eastAsia" w:ascii="楷体_GB2312" w:eastAsia="楷体_GB2312"/>
          <w:sz w:val="32"/>
          <w:szCs w:val="32"/>
        </w:rPr>
      </w:pPr>
      <w:r>
        <w:rPr>
          <w:rFonts w:hint="eastAsia" w:ascii="楷体_GB2312" w:eastAsia="楷体_GB2312"/>
          <w:sz w:val="32"/>
          <w:szCs w:val="32"/>
        </w:rPr>
        <w:t>一般公共预算当年财政拨款</w:t>
      </w:r>
      <w:r>
        <w:rPr>
          <w:rFonts w:hint="eastAsia" w:ascii="楷体_GB2312" w:eastAsia="楷体_GB2312"/>
          <w:sz w:val="32"/>
          <w:szCs w:val="32"/>
          <w:lang w:eastAsia="zh-CN"/>
        </w:rPr>
        <w:t>决算</w:t>
      </w:r>
      <w:r>
        <w:rPr>
          <w:rFonts w:hint="eastAsia" w:ascii="楷体_GB2312" w:eastAsia="楷体_GB2312"/>
          <w:sz w:val="32"/>
          <w:szCs w:val="32"/>
        </w:rPr>
        <w:t>结构情况</w:t>
      </w:r>
    </w:p>
    <w:p>
      <w:pPr>
        <w:numPr>
          <w:numId w:val="0"/>
        </w:numPr>
        <w:rPr>
          <w:rFonts w:hint="eastAsia" w:ascii="楷体_GB2312" w:eastAsia="楷体_GB2312"/>
          <w:sz w:val="32"/>
          <w:szCs w:val="32"/>
          <w:lang w:val="en-US" w:eastAsia="zh-CN"/>
        </w:rPr>
      </w:pPr>
      <w:r>
        <w:rPr>
          <w:rFonts w:hint="eastAsia" w:ascii="楷体_GB2312" w:eastAsia="楷体_GB2312"/>
          <w:sz w:val="32"/>
          <w:szCs w:val="32"/>
        </w:rPr>
        <w:t xml:space="preserve">  其他人大事务支出</w:t>
      </w:r>
      <w:r>
        <w:rPr>
          <w:rFonts w:hint="eastAsia" w:ascii="楷体_GB2312" w:eastAsia="楷体_GB2312"/>
          <w:sz w:val="32"/>
          <w:szCs w:val="32"/>
          <w:lang w:val="en-US" w:eastAsia="zh-CN"/>
        </w:rPr>
        <w:t>5.4万元、其他组织事务支出0.8万元、其他一般公共服务支出10.4万元、人民防空150万元、文化活动16.7万元、 公益性岗位补贴2.0万元、其他公共卫生支出9.7万元、行政运行1629万元、市政公用行业市场监管1500万元、其他城乡社区管理事务支出1510.3万元、城乡社区环境卫生635万元、其他城乡社区支出1325.4万元。</w:t>
      </w:r>
    </w:p>
    <w:p>
      <w:pPr>
        <w:ind w:firstLine="627" w:firstLineChars="196"/>
        <w:rPr>
          <w:rFonts w:hint="eastAsia" w:ascii="楷体_GB2312" w:eastAsia="楷体_GB2312"/>
          <w:sz w:val="32"/>
          <w:szCs w:val="32"/>
        </w:rPr>
      </w:pPr>
      <w:r>
        <w:rPr>
          <w:rFonts w:hint="eastAsia" w:ascii="方正仿宋简体" w:hAnsi="宋体" w:eastAsia="方正仿宋简体" w:cs="宋体"/>
          <w:sz w:val="32"/>
          <w:szCs w:val="32"/>
        </w:rPr>
        <w:t>（三）</w:t>
      </w:r>
      <w:r>
        <w:rPr>
          <w:rFonts w:hint="eastAsia" w:ascii="楷体_GB2312" w:eastAsia="楷体_GB2312"/>
          <w:sz w:val="32"/>
          <w:szCs w:val="32"/>
        </w:rPr>
        <w:t>一般公共预算当年财政拨款</w:t>
      </w:r>
      <w:r>
        <w:rPr>
          <w:rFonts w:hint="eastAsia" w:ascii="楷体_GB2312" w:eastAsia="楷体_GB2312"/>
          <w:sz w:val="32"/>
          <w:szCs w:val="32"/>
          <w:lang w:eastAsia="zh-CN"/>
        </w:rPr>
        <w:t>决算</w:t>
      </w:r>
      <w:r>
        <w:rPr>
          <w:rFonts w:hint="eastAsia" w:ascii="楷体_GB2312" w:eastAsia="楷体_GB2312"/>
          <w:sz w:val="32"/>
          <w:szCs w:val="32"/>
        </w:rPr>
        <w:t>具体使用情况</w:t>
      </w:r>
    </w:p>
    <w:p>
      <w:pPr>
        <w:ind w:firstLine="627" w:firstLineChars="196"/>
        <w:rPr>
          <w:rFonts w:hint="eastAsia" w:ascii="黑体" w:hAnsi="宋体" w:eastAsia="黑体"/>
          <w:sz w:val="32"/>
          <w:szCs w:val="32"/>
        </w:rPr>
      </w:pPr>
      <w:r>
        <w:rPr>
          <w:rFonts w:hint="eastAsia" w:ascii="黑体" w:hAnsi="宋体" w:eastAsia="黑体"/>
          <w:sz w:val="32"/>
          <w:szCs w:val="32"/>
        </w:rPr>
        <w:t>三、   年度一般公共预算基本支出情况说明</w:t>
      </w:r>
    </w:p>
    <w:p>
      <w:pPr>
        <w:numPr>
          <w:ilvl w:val="0"/>
          <w:numId w:val="0"/>
        </w:numPr>
        <w:rPr>
          <w:rFonts w:hint="eastAsia" w:ascii="楷体_GB2312" w:eastAsia="楷体_GB2312"/>
          <w:sz w:val="32"/>
          <w:szCs w:val="32"/>
          <w:lang w:val="en-US" w:eastAsia="zh-CN"/>
        </w:rPr>
      </w:pPr>
      <w:r>
        <w:rPr>
          <w:rFonts w:hint="eastAsia" w:ascii="楷体_GB2312" w:eastAsia="楷体_GB2312"/>
          <w:sz w:val="32"/>
          <w:szCs w:val="32"/>
        </w:rPr>
        <w:t xml:space="preserve"> 其他人大事务支出</w:t>
      </w:r>
      <w:r>
        <w:rPr>
          <w:rFonts w:hint="eastAsia" w:ascii="楷体_GB2312" w:eastAsia="楷体_GB2312"/>
          <w:sz w:val="32"/>
          <w:szCs w:val="32"/>
          <w:lang w:val="en-US" w:eastAsia="zh-CN"/>
        </w:rPr>
        <w:t>5.4万元、其他组织事务支出0.76万元、其他一般公共服务支出10.4万元、人民防空0万元、文化活动14.64万元、 公益性岗位补贴0万元、其他公共卫生支出9.7万元、行政运行1559.91万元、市政公用行业市场监管1500万元、其他城乡社区管理事务支出1253.49万元、城乡社区环境卫生635万元、其他城乡社区支出1135.04万元。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重点说明机关运行经费安排情况。机关运行经费</w:t>
      </w:r>
      <w:r>
        <w:rPr>
          <w:rFonts w:hint="eastAsia" w:ascii="仿宋_GB2312" w:hAnsi="仿宋_GB2312" w:eastAsia="仿宋_GB2312" w:cs="仿宋_GB2312"/>
          <w:sz w:val="32"/>
          <w:szCs w:val="32"/>
          <w:lang w:eastAsia="zh-CN"/>
        </w:rPr>
        <w:t>支出情况</w:t>
      </w:r>
      <w:r>
        <w:rPr>
          <w:rFonts w:hint="eastAsia" w:ascii="仿宋_GB2312" w:hAnsi="仿宋_GB2312" w:eastAsia="仿宋_GB2312" w:cs="仿宋_GB2312"/>
          <w:sz w:val="32"/>
          <w:szCs w:val="32"/>
        </w:rPr>
        <w:t>办公</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13.24万元、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1.9万元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9.85万元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15.39万元、住房补贴76.07万元</w:t>
      </w:r>
      <w:r>
        <w:rPr>
          <w:rFonts w:hint="eastAsia" w:ascii="仿宋_GB2312" w:hAnsi="仿宋_GB2312" w:eastAsia="仿宋_GB2312" w:cs="仿宋_GB2312"/>
          <w:sz w:val="32"/>
          <w:szCs w:val="32"/>
        </w:rPr>
        <w:t>。</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 xml:space="preserve"> 年“三公”经费预算情况说明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上年我单位无预决算因此没有“三公”经费支出。</w:t>
      </w:r>
      <w:r>
        <w:rPr>
          <w:rFonts w:hint="eastAsia" w:ascii="仿宋_GB2312" w:hAnsi="仿宋_GB2312" w:eastAsia="仿宋_GB2312" w:cs="仿宋_GB2312"/>
          <w:sz w:val="32"/>
          <w:szCs w:val="32"/>
          <w:lang w:val="en-US" w:eastAsia="zh-CN"/>
        </w:rPr>
        <w:t>2017年我单位没有购置</w:t>
      </w:r>
      <w:r>
        <w:rPr>
          <w:rFonts w:hint="eastAsia" w:ascii="仿宋_GB2312" w:hAnsi="仿宋_GB2312" w:eastAsia="仿宋_GB2312" w:cs="仿宋_GB2312"/>
          <w:sz w:val="32"/>
          <w:szCs w:val="32"/>
        </w:rPr>
        <w:t>公务用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2017年公务用车运行维护费我单位支出15.39万元</w:t>
      </w:r>
      <w:r>
        <w:rPr>
          <w:rFonts w:hint="eastAsia" w:ascii="仿宋_GB2312" w:hAnsi="仿宋_GB2312" w:eastAsia="仿宋_GB2312" w:cs="仿宋_GB2312"/>
          <w:sz w:val="32"/>
          <w:szCs w:val="32"/>
        </w:rPr>
        <w:t>。</w:t>
      </w:r>
    </w:p>
    <w:p>
      <w:pPr>
        <w:ind w:firstLine="640" w:firstLineChars="200"/>
        <w:rPr>
          <w:rFonts w:hint="eastAsia" w:ascii="黑体" w:hAnsi="宋体" w:eastAsia="黑体"/>
          <w:sz w:val="32"/>
          <w:szCs w:val="32"/>
        </w:rPr>
      </w:pPr>
      <w:r>
        <w:rPr>
          <w:rFonts w:hint="eastAsia" w:ascii="黑体" w:hAnsi="宋体" w:eastAsia="黑体"/>
          <w:sz w:val="32"/>
          <w:szCs w:val="32"/>
        </w:rPr>
        <w:t>五、   年度政府性基金</w:t>
      </w:r>
      <w:r>
        <w:rPr>
          <w:rFonts w:hint="eastAsia" w:ascii="黑体" w:hAnsi="宋体" w:eastAsia="黑体"/>
          <w:sz w:val="32"/>
          <w:szCs w:val="32"/>
          <w:lang w:eastAsia="zh-CN"/>
        </w:rPr>
        <w:t>决算</w:t>
      </w:r>
      <w:r>
        <w:rPr>
          <w:rFonts w:hint="eastAsia" w:ascii="黑体" w:hAnsi="宋体" w:eastAsia="黑体"/>
          <w:sz w:val="32"/>
          <w:szCs w:val="32"/>
        </w:rPr>
        <w:t>支出情况说明</w:t>
      </w:r>
    </w:p>
    <w:p>
      <w:pPr>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2017年我单位没有安排政府性基金。</w:t>
      </w:r>
    </w:p>
    <w:p>
      <w:pPr>
        <w:numPr>
          <w:ilvl w:val="0"/>
          <w:numId w:val="3"/>
        </w:numPr>
        <w:ind w:firstLine="640" w:firstLineChars="200"/>
        <w:rPr>
          <w:rFonts w:hint="eastAsia" w:ascii="黑体" w:hAnsi="宋体" w:eastAsia="黑体"/>
          <w:sz w:val="32"/>
          <w:szCs w:val="32"/>
        </w:rPr>
      </w:pPr>
      <w:r>
        <w:rPr>
          <w:rFonts w:hint="eastAsia" w:ascii="黑体" w:hAnsi="宋体" w:eastAsia="黑体"/>
          <w:sz w:val="32"/>
          <w:szCs w:val="32"/>
        </w:rPr>
        <w:t xml:space="preserve">  年度收支</w:t>
      </w:r>
      <w:r>
        <w:rPr>
          <w:rFonts w:hint="eastAsia" w:ascii="黑体" w:hAnsi="宋体" w:eastAsia="黑体"/>
          <w:sz w:val="32"/>
          <w:szCs w:val="32"/>
          <w:lang w:eastAsia="zh-CN"/>
        </w:rPr>
        <w:t>决算</w:t>
      </w:r>
      <w:r>
        <w:rPr>
          <w:rFonts w:hint="eastAsia" w:ascii="黑体" w:hAnsi="宋体" w:eastAsia="黑体"/>
          <w:sz w:val="32"/>
          <w:szCs w:val="32"/>
        </w:rPr>
        <w:t>情况总体说明</w:t>
      </w:r>
    </w:p>
    <w:p>
      <w:pPr>
        <w:ind w:firstLine="627" w:firstLineChars="196"/>
        <w:rPr>
          <w:rFonts w:hint="eastAsia" w:ascii="黑体" w:hAnsi="宋体" w:eastAsia="楷体_GB2312"/>
          <w:sz w:val="32"/>
          <w:szCs w:val="32"/>
          <w:lang w:val="en-US" w:eastAsia="zh-CN"/>
        </w:rPr>
      </w:pPr>
      <w:r>
        <w:rPr>
          <w:rFonts w:hint="eastAsia" w:ascii="楷体_GB2312" w:eastAsia="楷体_GB2312"/>
          <w:sz w:val="32"/>
          <w:szCs w:val="32"/>
        </w:rPr>
        <w:t xml:space="preserve"> </w:t>
      </w:r>
      <w:r>
        <w:rPr>
          <w:rFonts w:hint="eastAsia" w:ascii="楷体_GB2312" w:eastAsia="楷体_GB2312"/>
          <w:sz w:val="32"/>
          <w:szCs w:val="32"/>
          <w:lang w:val="en-US" w:eastAsia="zh-CN"/>
        </w:rPr>
        <w:t>2017年财政拨款收入6794.78万元。支出6124.36万元、其中基本支出2209.9万元、项目支出3914.37万元、</w:t>
      </w:r>
    </w:p>
    <w:p>
      <w:pPr>
        <w:numPr>
          <w:ilvl w:val="0"/>
          <w:numId w:val="3"/>
        </w:numPr>
        <w:ind w:left="0" w:leftChars="0" w:firstLine="640" w:firstLineChars="200"/>
        <w:rPr>
          <w:rFonts w:hint="eastAsia" w:ascii="黑体" w:hAnsi="宋体" w:eastAsia="黑体"/>
          <w:sz w:val="32"/>
          <w:szCs w:val="32"/>
        </w:rPr>
      </w:pPr>
      <w:r>
        <w:rPr>
          <w:rFonts w:hint="eastAsia" w:ascii="黑体" w:hAnsi="宋体" w:eastAsia="黑体"/>
          <w:sz w:val="32"/>
          <w:szCs w:val="32"/>
        </w:rPr>
        <w:t xml:space="preserve">  年度收入</w:t>
      </w:r>
      <w:r>
        <w:rPr>
          <w:rFonts w:hint="eastAsia" w:ascii="黑体" w:hAnsi="宋体" w:eastAsia="黑体"/>
          <w:sz w:val="32"/>
          <w:szCs w:val="32"/>
          <w:lang w:eastAsia="zh-CN"/>
        </w:rPr>
        <w:t>决算</w:t>
      </w:r>
      <w:r>
        <w:rPr>
          <w:rFonts w:hint="eastAsia" w:ascii="黑体" w:hAnsi="宋体" w:eastAsia="黑体"/>
          <w:sz w:val="32"/>
          <w:szCs w:val="32"/>
        </w:rPr>
        <w:t>情况说明</w:t>
      </w:r>
    </w:p>
    <w:p>
      <w:pPr>
        <w:numPr>
          <w:numId w:val="0"/>
        </w:numPr>
        <w:ind w:leftChars="200"/>
        <w:rPr>
          <w:rFonts w:hint="eastAsia" w:ascii="黑体" w:hAnsi="宋体" w:eastAsia="黑体"/>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2017年财政拨款收入6794.78万元。</w:t>
      </w:r>
    </w:p>
    <w:p>
      <w:pPr>
        <w:numPr>
          <w:ilvl w:val="0"/>
          <w:numId w:val="3"/>
        </w:numPr>
        <w:ind w:left="0" w:leftChars="0" w:firstLine="640" w:firstLineChars="200"/>
        <w:rPr>
          <w:rFonts w:hint="eastAsia" w:ascii="黑体" w:hAnsi="宋体" w:eastAsia="黑体"/>
          <w:sz w:val="32"/>
          <w:szCs w:val="32"/>
        </w:rPr>
      </w:pPr>
      <w:r>
        <w:rPr>
          <w:rFonts w:hint="eastAsia" w:ascii="黑体" w:hAnsi="宋体" w:eastAsia="黑体"/>
          <w:sz w:val="32"/>
          <w:szCs w:val="32"/>
        </w:rPr>
        <w:t xml:space="preserve">  年度支出</w:t>
      </w:r>
      <w:r>
        <w:rPr>
          <w:rFonts w:hint="eastAsia" w:ascii="黑体" w:hAnsi="宋体" w:eastAsia="黑体"/>
          <w:sz w:val="32"/>
          <w:szCs w:val="32"/>
          <w:lang w:eastAsia="zh-CN"/>
        </w:rPr>
        <w:t>决算</w:t>
      </w:r>
      <w:r>
        <w:rPr>
          <w:rFonts w:hint="eastAsia" w:ascii="黑体" w:hAnsi="宋体" w:eastAsia="黑体"/>
          <w:sz w:val="32"/>
          <w:szCs w:val="32"/>
        </w:rPr>
        <w:t>情况说明</w:t>
      </w:r>
    </w:p>
    <w:p>
      <w:pPr>
        <w:ind w:firstLine="627" w:firstLineChars="196"/>
        <w:rPr>
          <w:rFonts w:hint="eastAsia" w:ascii="黑体" w:hAnsi="宋体" w:eastAsia="楷体_GB2312"/>
          <w:sz w:val="32"/>
          <w:szCs w:val="32"/>
          <w:lang w:val="en-US" w:eastAsia="zh-CN"/>
        </w:rPr>
      </w:pPr>
      <w:r>
        <w:rPr>
          <w:rFonts w:hint="eastAsia" w:ascii="楷体_GB2312" w:eastAsia="楷体_GB2312"/>
          <w:sz w:val="32"/>
          <w:szCs w:val="32"/>
          <w:lang w:val="en-US" w:eastAsia="zh-CN"/>
        </w:rPr>
        <w:t>支出6124.36万元、其中基本支出2209.9万元、项目支出3914.37万元、年末结转结余670.42万元。</w:t>
      </w:r>
    </w:p>
    <w:p>
      <w:pPr>
        <w:numPr>
          <w:ilvl w:val="0"/>
          <w:numId w:val="3"/>
        </w:numPr>
        <w:ind w:left="0" w:leftChars="0" w:firstLine="640" w:firstLineChars="200"/>
        <w:rPr>
          <w:rFonts w:ascii="黑体" w:hAnsi="宋体" w:eastAsia="黑体"/>
          <w:sz w:val="32"/>
          <w:szCs w:val="32"/>
        </w:rPr>
      </w:pPr>
      <w:r>
        <w:rPr>
          <w:rFonts w:hint="eastAsia" w:ascii="黑体" w:hAnsi="宋体" w:eastAsia="黑体"/>
          <w:sz w:val="32"/>
          <w:szCs w:val="32"/>
        </w:rPr>
        <w:t xml:space="preserve">   </w:t>
      </w:r>
      <w:r>
        <w:rPr>
          <w:rFonts w:ascii="黑体" w:hAnsi="宋体" w:eastAsia="黑体"/>
          <w:sz w:val="32"/>
          <w:szCs w:val="32"/>
        </w:rPr>
        <w:t>政府采购情况说明</w:t>
      </w:r>
    </w:p>
    <w:p>
      <w:pPr>
        <w:numPr>
          <w:numId w:val="0"/>
        </w:numPr>
        <w:ind w:leftChars="200"/>
        <w:rPr>
          <w:rFonts w:hint="eastAsia" w:ascii="黑体" w:hAnsi="宋体" w:eastAsia="黑体"/>
          <w:sz w:val="32"/>
          <w:szCs w:val="32"/>
          <w:lang w:eastAsia="zh-CN"/>
        </w:rPr>
      </w:pPr>
      <w:r>
        <w:rPr>
          <w:rFonts w:hint="eastAsia" w:ascii="黑体" w:hAnsi="宋体" w:eastAsia="黑体"/>
          <w:sz w:val="32"/>
          <w:szCs w:val="32"/>
          <w:lang w:eastAsia="zh-CN"/>
        </w:rPr>
        <w:t>无政府采购</w:t>
      </w: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ind w:firstLine="3360" w:firstLineChars="700"/>
        <w:jc w:val="both"/>
        <w:rPr>
          <w:rFonts w:hint="eastAsia" w:ascii="黑体" w:hAnsi="宋体" w:eastAsia="黑体"/>
          <w:sz w:val="48"/>
          <w:szCs w:val="48"/>
        </w:rPr>
      </w:pPr>
      <w:r>
        <w:rPr>
          <w:rFonts w:hint="eastAsia" w:ascii="黑体" w:hAnsi="宋体" w:eastAsia="黑体"/>
          <w:sz w:val="48"/>
          <w:szCs w:val="48"/>
        </w:rPr>
        <w:t>第四部分</w:t>
      </w: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r>
        <w:rPr>
          <w:rFonts w:hint="eastAsia" w:ascii="黑体" w:hAnsi="宋体" w:eastAsia="黑体"/>
          <w:sz w:val="48"/>
          <w:szCs w:val="48"/>
        </w:rPr>
        <w:t>名词解释</w:t>
      </w:r>
    </w:p>
    <w:p>
      <w:pPr>
        <w:spacing w:line="460" w:lineRule="exact"/>
        <w:jc w:val="center"/>
        <w:rPr>
          <w:rFonts w:hint="eastAsia" w:ascii="黑体" w:hAnsi="宋体" w:eastAsia="黑体"/>
          <w:sz w:val="48"/>
          <w:szCs w:val="48"/>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、一般公共预算拨款收入：指财政</w:t>
      </w:r>
      <w:r>
        <w:rPr>
          <w:rFonts w:hint="eastAsia" w:ascii="仿宋_GB2312" w:hAnsi="宋体" w:eastAsia="仿宋_GB2312" w:cs="宋体"/>
          <w:sz w:val="32"/>
          <w:szCs w:val="32"/>
        </w:rPr>
        <w:t>部门</w:t>
      </w:r>
      <w:r>
        <w:rPr>
          <w:rFonts w:ascii="仿宋_GB2312" w:hAnsi="宋体" w:eastAsia="仿宋_GB2312" w:cs="宋体"/>
          <w:sz w:val="32"/>
          <w:szCs w:val="32"/>
        </w:rPr>
        <w:t>当年拨付的资金。</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、其他收入</w:t>
      </w:r>
      <w:r>
        <w:rPr>
          <w:rFonts w:hint="eastAsia" w:ascii="仿宋_GB2312" w:hAnsi="宋体" w:eastAsia="仿宋_GB2312" w:cs="宋体"/>
          <w:sz w:val="32"/>
          <w:szCs w:val="32"/>
        </w:rPr>
        <w:t>：指</w:t>
      </w:r>
      <w:r>
        <w:rPr>
          <w:rFonts w:ascii="仿宋_GB2312" w:hAnsi="宋体" w:eastAsia="仿宋_GB2312" w:cs="宋体"/>
          <w:sz w:val="32"/>
          <w:szCs w:val="32"/>
        </w:rPr>
        <w:t>上述“一般公共预算拨款收入”以外的收入。存款利息收入等。</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三</w:t>
      </w:r>
      <w:r>
        <w:rPr>
          <w:rFonts w:hint="eastAsia" w:ascii="仿宋" w:hAnsi="仿宋" w:eastAsia="仿宋" w:cs="宋体"/>
          <w:sz w:val="32"/>
          <w:szCs w:val="32"/>
        </w:rPr>
        <w:t>、行政运行：指用于保障司法局完成日常工作任务而发生的基本支出。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四</w:t>
      </w:r>
      <w:r>
        <w:rPr>
          <w:rFonts w:hint="eastAsia" w:ascii="仿宋" w:hAnsi="仿宋" w:eastAsia="仿宋" w:cs="宋体"/>
          <w:sz w:val="32"/>
          <w:szCs w:val="32"/>
        </w:rPr>
        <w:t>、基本支出：指为保障机构正常运转，完成日常工作任务而发生的人员支出和公用支出。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五</w:t>
      </w:r>
      <w:r>
        <w:rPr>
          <w:rFonts w:hint="eastAsia" w:ascii="仿宋" w:hAnsi="仿宋" w:eastAsia="仿宋" w:cs="宋体"/>
          <w:sz w:val="32"/>
          <w:szCs w:val="32"/>
        </w:rPr>
        <w:t>、项目支出：指在基本支出之外为完成特定行政任务和事业发展目标所发生的支出。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六</w:t>
      </w:r>
      <w:r>
        <w:rPr>
          <w:rFonts w:hint="eastAsia" w:ascii="仿宋" w:hAnsi="仿宋" w:eastAsia="仿宋" w:cs="宋体"/>
          <w:sz w:val="32"/>
          <w:szCs w:val="32"/>
        </w:rPr>
        <w:t>、“三公”经费：指纳入中央财政预决算管理的“三公”经费，是指用财政拨款安排的因公出国（境）、公务用车购置及运行维护费和公务接待费。</w:t>
      </w:r>
    </w:p>
    <w:p>
      <w:pPr>
        <w:spacing w:line="560" w:lineRule="exact"/>
        <w:ind w:firstLine="640" w:firstLineChars="200"/>
        <w:rPr>
          <w:rFonts w:ascii="仿宋_GB2312" w:hAnsi="宋体" w:eastAsia="仿宋_GB2312" w:cs="宋体"/>
          <w:sz w:val="32"/>
          <w:szCs w:val="32"/>
        </w:rPr>
      </w:pPr>
      <w:bookmarkStart w:id="0" w:name="_GoBack"/>
      <w:bookmarkEnd w:id="0"/>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4"/>
        <w:szCs w:val="24"/>
      </w:rPr>
    </w:pP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4</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773A8"/>
    <w:multiLevelType w:val="singleLevel"/>
    <w:tmpl w:val="BFA773A8"/>
    <w:lvl w:ilvl="0" w:tentative="0">
      <w:start w:val="6"/>
      <w:numFmt w:val="chineseCounting"/>
      <w:suff w:val="space"/>
      <w:lvlText w:val="%1、"/>
      <w:lvlJc w:val="left"/>
      <w:rPr>
        <w:rFonts w:hint="eastAsia"/>
      </w:rPr>
    </w:lvl>
  </w:abstractNum>
  <w:abstractNum w:abstractNumId="1">
    <w:nsid w:val="12D5021D"/>
    <w:multiLevelType w:val="singleLevel"/>
    <w:tmpl w:val="12D5021D"/>
    <w:lvl w:ilvl="0" w:tentative="0">
      <w:start w:val="2"/>
      <w:numFmt w:val="chineseCounting"/>
      <w:suff w:val="nothing"/>
      <w:lvlText w:val="（%1）"/>
      <w:lvlJc w:val="left"/>
      <w:rPr>
        <w:rFonts w:hint="eastAsia"/>
      </w:rPr>
    </w:lvl>
  </w:abstractNum>
  <w:abstractNum w:abstractNumId="2">
    <w:nsid w:val="572AB11E"/>
    <w:multiLevelType w:val="singleLevel"/>
    <w:tmpl w:val="572AB11E"/>
    <w:lvl w:ilvl="0" w:tentative="0">
      <w:start w:val="1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433E2"/>
    <w:rsid w:val="0AA81662"/>
    <w:rsid w:val="3D03682A"/>
    <w:rsid w:val="408433E2"/>
    <w:rsid w:val="4B5741DE"/>
    <w:rsid w:val="6D535020"/>
    <w:rsid w:val="7FF5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zx\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2018-05-27T17:29:00Z</dcterms:created>
  <dc:creator>cgzx</dc:creator>
  <cp:lastModifiedBy>cgzx</cp:lastModifiedBy>
  <dcterms:modified xsi:type="dcterms:W3CDTF">2018-05-31T21:26:57Z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2052-10.1.0.7388</vt:lpwstr>
  </property>
</Properties>
</file>