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仿宋" w:hAnsi="仿宋" w:eastAsia="仿宋" w:cs="方正仿宋简体"/>
          <w:sz w:val="32"/>
          <w:szCs w:val="32"/>
        </w:rPr>
      </w:pPr>
      <w:r>
        <w:rPr>
          <w:rFonts w:hint="eastAsia" w:ascii="仿宋" w:hAnsi="仿宋" w:eastAsia="仿宋" w:cs="方正仿宋简体"/>
          <w:sz w:val="32"/>
          <w:szCs w:val="32"/>
        </w:rPr>
        <w:t>附件3：</w:t>
      </w:r>
    </w:p>
    <w:p>
      <w:pPr>
        <w:jc w:val="left"/>
        <w:rPr>
          <w:sz w:val="44"/>
          <w:szCs w:val="44"/>
        </w:rPr>
      </w:pPr>
    </w:p>
    <w:p>
      <w:pPr>
        <w:jc w:val="left"/>
        <w:rPr>
          <w:sz w:val="44"/>
          <w:szCs w:val="44"/>
        </w:rPr>
      </w:pPr>
    </w:p>
    <w:p>
      <w:pPr>
        <w:jc w:val="left"/>
        <w:rPr>
          <w:sz w:val="44"/>
          <w:szCs w:val="44"/>
        </w:rPr>
      </w:pPr>
    </w:p>
    <w:p>
      <w:pPr>
        <w:spacing w:line="640" w:lineRule="exact"/>
        <w:jc w:val="left"/>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那曲市</w:t>
      </w:r>
      <w:r>
        <w:rPr>
          <w:rFonts w:hint="eastAsia" w:ascii="黑体" w:eastAsia="黑体"/>
          <w:b/>
          <w:sz w:val="52"/>
          <w:szCs w:val="52"/>
          <w:lang w:eastAsia="zh-CN"/>
        </w:rPr>
        <w:t>委宣传部</w:t>
      </w:r>
    </w:p>
    <w:p>
      <w:pPr>
        <w:spacing w:line="640" w:lineRule="exact"/>
        <w:jc w:val="center"/>
        <w:rPr>
          <w:rFonts w:ascii="黑体" w:eastAsia="黑体"/>
          <w:b/>
          <w:sz w:val="52"/>
          <w:szCs w:val="52"/>
        </w:rPr>
      </w:pPr>
      <w:r>
        <w:rPr>
          <w:rFonts w:hint="eastAsia" w:ascii="黑体" w:eastAsia="黑体"/>
          <w:b/>
          <w:sz w:val="52"/>
          <w:szCs w:val="52"/>
        </w:rPr>
        <w:t>2018年度部门预算</w:t>
      </w:r>
    </w:p>
    <w:p>
      <w:pPr>
        <w:jc w:val="center"/>
        <w:rPr>
          <w:sz w:val="44"/>
          <w:szCs w:val="44"/>
        </w:rPr>
      </w:pPr>
    </w:p>
    <w:p>
      <w:pPr>
        <w:jc w:val="center"/>
        <w:rPr>
          <w:sz w:val="44"/>
          <w:szCs w:val="44"/>
        </w:rPr>
      </w:pPr>
      <w:r>
        <w:rPr>
          <w:rFonts w:hint="eastAsia"/>
          <w:sz w:val="44"/>
          <w:szCs w:val="44"/>
        </w:rPr>
        <w:t>（公示材料）</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rFonts w:ascii="宋体" w:hAnsi="宋体"/>
          <w:sz w:val="32"/>
          <w:szCs w:val="32"/>
          <w:u w:val="single"/>
        </w:rPr>
      </w:pPr>
      <w:r>
        <w:rPr>
          <w:rFonts w:hint="eastAsia" w:ascii="宋体" w:hAnsi="宋体"/>
          <w:sz w:val="32"/>
          <w:szCs w:val="32"/>
          <w:u w:val="single"/>
        </w:rPr>
        <w:t>2018</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lang w:val="en-US" w:eastAsia="zh-CN"/>
        </w:rPr>
        <w:t>6</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u w:val="single"/>
          <w:lang w:val="en-US" w:eastAsia="zh-CN"/>
        </w:rPr>
        <w:t>4</w:t>
      </w:r>
      <w:r>
        <w:rPr>
          <w:rFonts w:hint="eastAsia" w:ascii="宋体" w:hAnsi="宋体"/>
          <w:sz w:val="32"/>
          <w:szCs w:val="32"/>
          <w:u w:val="single"/>
        </w:rPr>
        <w:t xml:space="preserve"> 日</w:t>
      </w:r>
    </w:p>
    <w:p>
      <w:pPr>
        <w:jc w:val="left"/>
        <w:rPr>
          <w:sz w:val="44"/>
          <w:szCs w:val="44"/>
        </w:rPr>
      </w:pPr>
    </w:p>
    <w:p>
      <w:pPr>
        <w:jc w:val="left"/>
        <w:rPr>
          <w:sz w:val="44"/>
          <w:szCs w:val="44"/>
        </w:rPr>
      </w:pPr>
    </w:p>
    <w:p>
      <w:pPr>
        <w:spacing w:line="460" w:lineRule="exact"/>
        <w:jc w:val="left"/>
        <w:rPr>
          <w:rFonts w:ascii="宋体" w:hAnsi="宋体"/>
          <w:b/>
          <w:sz w:val="40"/>
          <w:szCs w:val="40"/>
        </w:rPr>
      </w:pPr>
    </w:p>
    <w:p>
      <w:pPr>
        <w:spacing w:line="460" w:lineRule="exact"/>
        <w:jc w:val="left"/>
        <w:rPr>
          <w:rFonts w:ascii="宋体" w:hAnsi="宋体"/>
          <w:b/>
          <w:sz w:val="40"/>
          <w:szCs w:val="40"/>
        </w:rPr>
      </w:pPr>
      <w:r>
        <w:rPr>
          <w:rFonts w:hint="eastAsia" w:ascii="宋体" w:hAnsi="宋体"/>
          <w:b/>
          <w:sz w:val="40"/>
          <w:szCs w:val="40"/>
        </w:rPr>
        <w:t>目  录</w:t>
      </w:r>
    </w:p>
    <w:p>
      <w:pPr>
        <w:spacing w:line="460" w:lineRule="exact"/>
        <w:jc w:val="left"/>
        <w:rPr>
          <w:rFonts w:ascii="宋体" w:hAnsi="宋体"/>
          <w:b/>
          <w:sz w:val="40"/>
          <w:szCs w:val="40"/>
        </w:rPr>
      </w:pP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第一部分 那曲市</w:t>
      </w:r>
      <w:r>
        <w:rPr>
          <w:rFonts w:hint="eastAsia" w:ascii="黑体" w:hAnsi="宋体" w:eastAsia="黑体"/>
          <w:sz w:val="32"/>
          <w:szCs w:val="32"/>
          <w:lang w:eastAsia="zh-CN"/>
        </w:rPr>
        <w:t>委员会宣传部</w:t>
      </w:r>
      <w:r>
        <w:rPr>
          <w:rFonts w:hint="eastAsia" w:ascii="黑体" w:hAnsi="宋体" w:eastAsia="黑体"/>
          <w:sz w:val="32"/>
          <w:szCs w:val="32"/>
        </w:rPr>
        <w:t>概况</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一、部门职责</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二、机构设置情况</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第二部分 那曲市</w:t>
      </w:r>
      <w:r>
        <w:rPr>
          <w:rFonts w:hint="eastAsia" w:ascii="黑体" w:hAnsi="宋体" w:eastAsia="黑体"/>
          <w:sz w:val="32"/>
          <w:szCs w:val="32"/>
          <w:lang w:eastAsia="zh-CN"/>
        </w:rPr>
        <w:t>委员会宣传部</w:t>
      </w:r>
      <w:r>
        <w:rPr>
          <w:rFonts w:hint="eastAsia" w:ascii="黑体" w:hAnsi="宋体" w:eastAsia="黑体"/>
          <w:sz w:val="32"/>
          <w:szCs w:val="32"/>
        </w:rPr>
        <w:t>2018年度部门预算明细表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一、财政拨款收支总表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二、一般公共预算支出表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三、一般公共预算基本支出表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四、一般公共预算“三公”经费支出表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五、政府性基金预算支出表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六、部门收支总表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七、部门收入总表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八、部门支出总表</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第三部分 那曲市</w:t>
      </w:r>
      <w:r>
        <w:rPr>
          <w:rFonts w:hint="eastAsia" w:ascii="黑体" w:hAnsi="宋体" w:eastAsia="黑体"/>
          <w:sz w:val="32"/>
          <w:szCs w:val="32"/>
          <w:lang w:eastAsia="zh-CN"/>
        </w:rPr>
        <w:t>委员会宣传部</w:t>
      </w:r>
      <w:r>
        <w:rPr>
          <w:rFonts w:hint="eastAsia" w:ascii="黑体" w:hAnsi="宋体" w:eastAsia="黑体"/>
          <w:sz w:val="32"/>
          <w:szCs w:val="32"/>
        </w:rPr>
        <w:t>2018年度部门预算情况说明</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第四部分  名词解释</w:t>
      </w:r>
    </w:p>
    <w:p>
      <w:pPr>
        <w:widowControl/>
        <w:jc w:val="left"/>
        <w:rPr>
          <w:rFonts w:ascii="宋体" w:hAnsi="宋体"/>
          <w:b/>
          <w:sz w:val="40"/>
          <w:szCs w:val="40"/>
        </w:rPr>
      </w:pPr>
      <w:r>
        <w:rPr>
          <w:rFonts w:ascii="宋体" w:hAnsi="宋体"/>
          <w:b/>
          <w:sz w:val="40"/>
          <w:szCs w:val="40"/>
        </w:rPr>
        <w:br w:type="page"/>
      </w: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第一部分</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那曲市</w:t>
      </w:r>
      <w:r>
        <w:rPr>
          <w:rFonts w:hint="eastAsia" w:ascii="黑体" w:hAnsi="宋体" w:eastAsia="黑体"/>
          <w:sz w:val="48"/>
          <w:szCs w:val="48"/>
          <w:lang w:eastAsia="zh-CN"/>
        </w:rPr>
        <w:t>委宣传部</w:t>
      </w:r>
      <w:r>
        <w:rPr>
          <w:rFonts w:hint="eastAsia" w:ascii="黑体" w:hAnsi="宋体" w:eastAsia="黑体"/>
          <w:sz w:val="48"/>
          <w:szCs w:val="48"/>
        </w:rPr>
        <w:t>概况</w:t>
      </w:r>
    </w:p>
    <w:p>
      <w:pPr>
        <w:spacing w:line="460" w:lineRule="exact"/>
        <w:jc w:val="left"/>
        <w:rPr>
          <w:rFonts w:ascii="黑体" w:hAnsi="宋体" w:eastAsia="黑体"/>
          <w:sz w:val="48"/>
          <w:szCs w:val="48"/>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rFonts w:ascii="华文中宋" w:hAnsi="华文中宋" w:eastAsia="华文中宋"/>
          <w:b/>
          <w:sz w:val="36"/>
          <w:szCs w:val="36"/>
        </w:rPr>
      </w:pPr>
    </w:p>
    <w:p>
      <w:pPr>
        <w:jc w:val="left"/>
        <w:rPr>
          <w:sz w:val="44"/>
          <w:szCs w:val="44"/>
        </w:rPr>
      </w:pPr>
    </w:p>
    <w:p>
      <w:pPr>
        <w:widowControl/>
        <w:jc w:val="left"/>
        <w:rPr>
          <w:rFonts w:ascii="黑体" w:hAnsi="宋体" w:eastAsia="黑体"/>
          <w:b/>
          <w:sz w:val="32"/>
          <w:szCs w:val="32"/>
        </w:rPr>
      </w:pPr>
      <w:r>
        <w:rPr>
          <w:rFonts w:ascii="黑体" w:hAnsi="宋体" w:eastAsia="黑体"/>
          <w:b/>
          <w:sz w:val="32"/>
          <w:szCs w:val="32"/>
        </w:rPr>
        <w:br w:type="page"/>
      </w:r>
    </w:p>
    <w:p>
      <w:pPr>
        <w:numPr>
          <w:ilvl w:val="0"/>
          <w:numId w:val="1"/>
        </w:numPr>
        <w:ind w:firstLine="630" w:firstLineChars="196"/>
        <w:jc w:val="left"/>
        <w:rPr>
          <w:rFonts w:hint="eastAsia" w:ascii="黑体" w:hAnsi="宋体" w:eastAsia="黑体"/>
          <w:b/>
          <w:sz w:val="32"/>
          <w:szCs w:val="32"/>
        </w:rPr>
      </w:pPr>
      <w:r>
        <w:rPr>
          <w:rFonts w:hint="eastAsia" w:ascii="黑体" w:hAnsi="宋体" w:eastAsia="黑体"/>
          <w:b/>
          <w:sz w:val="32"/>
          <w:szCs w:val="32"/>
          <w:lang w:eastAsia="zh-CN"/>
        </w:rPr>
        <w:t>那曲市委宣传部</w:t>
      </w:r>
      <w:r>
        <w:rPr>
          <w:rFonts w:hint="eastAsia" w:ascii="黑体" w:hAnsi="宋体" w:eastAsia="黑体"/>
          <w:b/>
          <w:sz w:val="32"/>
          <w:szCs w:val="32"/>
        </w:rPr>
        <w:t>部门职责</w:t>
      </w:r>
      <w:r>
        <w:rPr>
          <w:rFonts w:hint="eastAsia" w:ascii="黑体" w:hAnsi="宋体" w:eastAsia="黑体"/>
          <w:b/>
          <w:sz w:val="32"/>
          <w:szCs w:val="32"/>
          <w:lang w:eastAsia="zh-CN"/>
        </w:rPr>
        <w:t>、</w:t>
      </w:r>
    </w:p>
    <w:p>
      <w:pPr>
        <w:rPr>
          <w:rFonts w:hint="eastAsia"/>
          <w:sz w:val="32"/>
          <w:szCs w:val="32"/>
          <w:lang w:eastAsia="zh-CN"/>
        </w:rPr>
      </w:pPr>
      <w:r>
        <w:rPr>
          <w:rFonts w:hint="eastAsia"/>
          <w:sz w:val="32"/>
          <w:szCs w:val="32"/>
          <w:lang w:val="en-US" w:eastAsia="zh-CN"/>
        </w:rPr>
        <w:t xml:space="preserve">      </w:t>
      </w:r>
      <w:r>
        <w:rPr>
          <w:rFonts w:hint="eastAsia"/>
          <w:sz w:val="32"/>
          <w:szCs w:val="32"/>
          <w:lang w:eastAsia="zh-CN"/>
        </w:rPr>
        <w:t>市委宣传部负责规划、部署全市的宣传思想工作、负责引导社会舆论、指导、监督、管理和协调全市新闻宣传、出版工作、对市新闻媒体实施方针政策指导。负责全市精神文明创建工作的规划和组织实施、协调、指导和监督全市地区文明城市、行业、社区、未成年人思想道德建设等各类精神文明创建活动。</w:t>
      </w:r>
    </w:p>
    <w:p>
      <w:pPr>
        <w:numPr>
          <w:ilvl w:val="0"/>
          <w:numId w:val="1"/>
        </w:numPr>
        <w:ind w:firstLine="630" w:firstLineChars="196"/>
        <w:jc w:val="left"/>
        <w:rPr>
          <w:rFonts w:hint="eastAsia" w:ascii="黑体" w:hAnsi="宋体" w:eastAsia="黑体"/>
          <w:b/>
          <w:sz w:val="32"/>
          <w:szCs w:val="32"/>
        </w:rPr>
      </w:pPr>
      <w:r>
        <w:rPr>
          <w:rFonts w:hint="eastAsia" w:ascii="黑体" w:hAnsi="宋体" w:eastAsia="黑体"/>
          <w:b/>
          <w:sz w:val="32"/>
          <w:szCs w:val="32"/>
        </w:rPr>
        <w:t>那曲市</w:t>
      </w:r>
      <w:r>
        <w:rPr>
          <w:rFonts w:hint="eastAsia" w:ascii="黑体" w:hAnsi="宋体" w:eastAsia="黑体"/>
          <w:b/>
          <w:sz w:val="32"/>
          <w:szCs w:val="32"/>
          <w:lang w:eastAsia="zh-CN"/>
        </w:rPr>
        <w:t>委宣传部</w:t>
      </w:r>
      <w:r>
        <w:rPr>
          <w:rFonts w:hint="eastAsia" w:ascii="黑体" w:hAnsi="宋体" w:eastAsia="黑体"/>
          <w:b/>
          <w:sz w:val="32"/>
          <w:szCs w:val="32"/>
        </w:rPr>
        <w:t>部门机构设置情况</w:t>
      </w:r>
    </w:p>
    <w:p>
      <w:pPr>
        <w:numPr>
          <w:numId w:val="0"/>
        </w:numPr>
        <w:jc w:val="left"/>
        <w:rPr>
          <w:rFonts w:hint="eastAsia"/>
          <w:sz w:val="32"/>
          <w:szCs w:val="32"/>
          <w:lang w:val="en-US" w:eastAsia="zh-CN"/>
        </w:rPr>
      </w:pPr>
      <w:r>
        <w:rPr>
          <w:rFonts w:hint="eastAsia" w:ascii="黑体" w:hAnsi="宋体" w:eastAsia="黑体"/>
          <w:b/>
          <w:sz w:val="32"/>
          <w:szCs w:val="32"/>
          <w:lang w:val="en-US" w:eastAsia="zh-CN"/>
        </w:rPr>
        <w:t xml:space="preserve">      </w:t>
      </w:r>
      <w:r>
        <w:rPr>
          <w:rFonts w:hint="eastAsia"/>
          <w:sz w:val="32"/>
          <w:szCs w:val="32"/>
          <w:lang w:val="en-US" w:eastAsia="zh-CN"/>
        </w:rPr>
        <w:t>我部隶属行政机构，核定行政编制72人，事业编制22人，参照公务员编制15人，共计64人。2017年年底实有在职干部49人、实有退休人员17人、其他财政供养人员1员（公益性岗位）。市委宣传部内设机构：办公室、理教科（国防教育科、舆情信息科）、宣传教育科、精神文明办公室、外宣科（行署新闻局）、人事科、讲师团、那曲报社;地区网信办内设机构：网络管理科、网络宣传科、互联网评论中心；地区文化执法支队：文化综合科、文化执法科。</w:t>
      </w:r>
    </w:p>
    <w:p>
      <w:pPr>
        <w:numPr>
          <w:numId w:val="0"/>
        </w:numPr>
        <w:jc w:val="left"/>
        <w:rPr>
          <w:rFonts w:hint="eastAsia"/>
          <w:sz w:val="32"/>
          <w:szCs w:val="32"/>
          <w:lang w:val="en-US" w:eastAsia="zh-CN"/>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both"/>
        <w:rPr>
          <w:rFonts w:hint="eastAsia" w:ascii="黑体" w:hAnsi="宋体" w:eastAsia="黑体"/>
          <w:sz w:val="48"/>
          <w:szCs w:val="48"/>
          <w:lang w:val="en-US" w:eastAsia="zh-CN"/>
        </w:rPr>
      </w:pPr>
      <w:r>
        <w:rPr>
          <w:rFonts w:hint="eastAsia" w:ascii="黑体" w:hAnsi="宋体" w:eastAsia="黑体"/>
          <w:sz w:val="48"/>
          <w:szCs w:val="48"/>
          <w:lang w:val="en-US" w:eastAsia="zh-CN"/>
        </w:rPr>
        <w:t xml:space="preserve">             </w:t>
      </w:r>
    </w:p>
    <w:p>
      <w:pPr>
        <w:spacing w:line="460" w:lineRule="exact"/>
        <w:jc w:val="both"/>
        <w:rPr>
          <w:rFonts w:hint="eastAsia" w:ascii="黑体" w:hAnsi="宋体" w:eastAsia="黑体"/>
          <w:sz w:val="48"/>
          <w:szCs w:val="48"/>
          <w:lang w:val="en-US" w:eastAsia="zh-CN"/>
        </w:rPr>
      </w:pPr>
    </w:p>
    <w:p>
      <w:pPr>
        <w:spacing w:line="460" w:lineRule="exact"/>
        <w:jc w:val="both"/>
        <w:rPr>
          <w:rFonts w:hint="eastAsia" w:ascii="黑体" w:hAnsi="宋体" w:eastAsia="黑体"/>
          <w:sz w:val="48"/>
          <w:szCs w:val="48"/>
          <w:lang w:val="en-US" w:eastAsia="zh-CN"/>
        </w:rPr>
      </w:pPr>
    </w:p>
    <w:p>
      <w:pPr>
        <w:spacing w:line="460" w:lineRule="exact"/>
        <w:jc w:val="both"/>
        <w:rPr>
          <w:rFonts w:hint="eastAsia" w:ascii="黑体" w:hAnsi="宋体" w:eastAsia="黑体"/>
          <w:sz w:val="48"/>
          <w:szCs w:val="48"/>
          <w:lang w:val="en-US" w:eastAsia="zh-CN"/>
        </w:rPr>
      </w:pPr>
    </w:p>
    <w:p>
      <w:pPr>
        <w:spacing w:line="460" w:lineRule="exact"/>
        <w:jc w:val="both"/>
        <w:rPr>
          <w:rFonts w:hint="eastAsia" w:ascii="黑体" w:hAnsi="宋体" w:eastAsia="黑体"/>
          <w:sz w:val="48"/>
          <w:szCs w:val="48"/>
          <w:lang w:val="en-US" w:eastAsia="zh-CN"/>
        </w:rPr>
      </w:pPr>
    </w:p>
    <w:p>
      <w:pPr>
        <w:spacing w:line="460" w:lineRule="exact"/>
        <w:jc w:val="both"/>
        <w:rPr>
          <w:rFonts w:hint="eastAsia" w:ascii="黑体" w:hAnsi="宋体" w:eastAsia="黑体"/>
          <w:sz w:val="48"/>
          <w:szCs w:val="48"/>
          <w:lang w:val="en-US" w:eastAsia="zh-CN"/>
        </w:rPr>
      </w:pPr>
    </w:p>
    <w:p>
      <w:pPr>
        <w:spacing w:line="460" w:lineRule="exact"/>
        <w:jc w:val="both"/>
        <w:rPr>
          <w:rFonts w:ascii="黑体" w:hAnsi="宋体" w:eastAsia="黑体"/>
          <w:sz w:val="48"/>
          <w:szCs w:val="48"/>
        </w:rPr>
      </w:pPr>
      <w:r>
        <w:rPr>
          <w:rFonts w:hint="eastAsia" w:ascii="黑体" w:hAnsi="宋体" w:eastAsia="黑体"/>
          <w:sz w:val="48"/>
          <w:szCs w:val="48"/>
          <w:lang w:val="en-US" w:eastAsia="zh-CN"/>
        </w:rPr>
        <w:t xml:space="preserve">              </w:t>
      </w:r>
      <w:r>
        <w:rPr>
          <w:rFonts w:hint="eastAsia" w:ascii="黑体" w:hAnsi="宋体" w:eastAsia="黑体"/>
          <w:sz w:val="48"/>
          <w:szCs w:val="48"/>
        </w:rPr>
        <w:t>第二部分</w:t>
      </w:r>
    </w:p>
    <w:p>
      <w:pPr>
        <w:spacing w:line="460" w:lineRule="exact"/>
        <w:jc w:val="center"/>
        <w:rPr>
          <w:rFonts w:ascii="黑体" w:hAnsi="宋体" w:eastAsia="黑体"/>
          <w:sz w:val="48"/>
          <w:szCs w:val="48"/>
        </w:rPr>
      </w:pPr>
    </w:p>
    <w:p>
      <w:pPr>
        <w:spacing w:line="460" w:lineRule="exact"/>
        <w:jc w:val="center"/>
        <w:rPr>
          <w:rFonts w:ascii="黑体" w:eastAsia="黑体"/>
          <w:sz w:val="32"/>
          <w:szCs w:val="32"/>
        </w:rPr>
      </w:pPr>
      <w:r>
        <w:rPr>
          <w:rFonts w:hint="eastAsia" w:ascii="黑体" w:hAnsi="宋体" w:eastAsia="黑体"/>
          <w:sz w:val="48"/>
          <w:szCs w:val="48"/>
        </w:rPr>
        <w:t>那曲市</w:t>
      </w:r>
      <w:r>
        <w:rPr>
          <w:rFonts w:hint="eastAsia" w:ascii="黑体" w:hAnsi="宋体" w:eastAsia="黑体"/>
          <w:sz w:val="48"/>
          <w:szCs w:val="48"/>
          <w:lang w:eastAsia="zh-CN"/>
        </w:rPr>
        <w:t>委员会宣传部</w:t>
      </w:r>
      <w:r>
        <w:rPr>
          <w:rFonts w:hint="eastAsia" w:ascii="黑体" w:hAnsi="宋体" w:eastAsia="黑体"/>
          <w:sz w:val="48"/>
          <w:szCs w:val="48"/>
          <w:lang w:val="en-US" w:eastAsia="zh-CN"/>
        </w:rPr>
        <w:t xml:space="preserve">              </w:t>
      </w:r>
      <w:r>
        <w:rPr>
          <w:rFonts w:hint="eastAsia" w:ascii="黑体" w:hAnsi="宋体" w:eastAsia="黑体"/>
          <w:sz w:val="48"/>
          <w:szCs w:val="48"/>
        </w:rPr>
        <w:t>2018年度预算明细表</w:t>
      </w:r>
    </w:p>
    <w:p>
      <w:pPr>
        <w:spacing w:beforeLines="50" w:afterLines="50"/>
        <w:jc w:val="center"/>
        <w:rPr>
          <w:rFonts w:ascii="黑体" w:eastAsia="黑体"/>
          <w:sz w:val="32"/>
          <w:szCs w:val="32"/>
        </w:rPr>
      </w:pPr>
      <w:r>
        <w:rPr>
          <w:rFonts w:hint="eastAsia" w:ascii="黑体" w:eastAsia="黑体"/>
          <w:sz w:val="32"/>
          <w:szCs w:val="32"/>
        </w:rPr>
        <w:t>（表格见部门公开表1-8）</w:t>
      </w: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p>
      <w:pPr>
        <w:jc w:val="left"/>
        <w:rPr>
          <w:rFonts w:ascii="黑体" w:eastAsia="黑体"/>
          <w:sz w:val="32"/>
          <w:szCs w:val="32"/>
        </w:rPr>
        <w:sectPr>
          <w:headerReference r:id="rId4" w:type="default"/>
          <w:footerReference r:id="rId5" w:type="default"/>
          <w:footerReference r:id="rId6" w:type="even"/>
          <w:pgSz w:w="11906" w:h="16838"/>
          <w:pgMar w:top="1440" w:right="1800" w:bottom="1440" w:left="1800" w:header="851" w:footer="992" w:gutter="0"/>
          <w:cols w:space="720" w:num="1"/>
          <w:docGrid w:type="lines" w:linePitch="312" w:charSpace="0"/>
        </w:sectPr>
      </w:pPr>
    </w:p>
    <w:tbl>
      <w:tblPr>
        <w:tblStyle w:val="11"/>
        <w:tblW w:w="10787"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1"/>
        <w:gridCol w:w="1551"/>
        <w:gridCol w:w="2144"/>
        <w:gridCol w:w="7"/>
        <w:gridCol w:w="997"/>
        <w:gridCol w:w="1626"/>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551"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2144"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004"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3327" w:type="dxa"/>
            <w:gridSpan w:val="2"/>
            <w:tcBorders>
              <w:top w:val="nil"/>
              <w:left w:val="nil"/>
              <w:bottom w:val="nil"/>
              <w:right w:val="nil"/>
            </w:tcBorders>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0787" w:type="dxa"/>
            <w:gridSpan w:val="7"/>
            <w:tcBorders>
              <w:top w:val="nil"/>
              <w:left w:val="nil"/>
              <w:bottom w:val="nil"/>
              <w:right w:val="nil"/>
            </w:tcBorders>
            <w:vAlign w:val="center"/>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431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w:t>
            </w:r>
            <w:r>
              <w:rPr>
                <w:rFonts w:hint="eastAsia" w:ascii="仿宋_GB2312" w:hAnsi="宋体" w:eastAsia="仿宋_GB2312" w:cs="宋体"/>
                <w:color w:val="000000"/>
                <w:kern w:val="0"/>
                <w:sz w:val="22"/>
                <w:szCs w:val="22"/>
                <w:lang w:eastAsia="zh-CN"/>
              </w:rPr>
              <w:t>委宣传部</w:t>
            </w:r>
          </w:p>
        </w:tc>
        <w:tc>
          <w:tcPr>
            <w:tcW w:w="2144" w:type="dxa"/>
            <w:tcBorders>
              <w:top w:val="nil"/>
              <w:left w:val="nil"/>
              <w:bottom w:val="single" w:color="auto" w:sz="8"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2018年度</w:t>
            </w:r>
          </w:p>
        </w:tc>
        <w:tc>
          <w:tcPr>
            <w:tcW w:w="1004" w:type="dxa"/>
            <w:gridSpan w:val="2"/>
            <w:tcBorders>
              <w:top w:val="nil"/>
              <w:left w:val="nil"/>
              <w:bottom w:val="single" w:color="auto" w:sz="8"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26" w:type="dxa"/>
            <w:tcBorders>
              <w:top w:val="nil"/>
              <w:left w:val="nil"/>
              <w:bottom w:val="single" w:color="auto" w:sz="8"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1" w:type="dxa"/>
            <w:tcBorders>
              <w:top w:val="nil"/>
              <w:left w:val="nil"/>
              <w:bottom w:val="nil"/>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312"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6475" w:type="dxa"/>
            <w:gridSpan w:val="5"/>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761"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5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预算数 </w:t>
            </w:r>
          </w:p>
        </w:tc>
        <w:tc>
          <w:tcPr>
            <w:tcW w:w="215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合计 </w:t>
            </w:r>
          </w:p>
        </w:tc>
        <w:tc>
          <w:tcPr>
            <w:tcW w:w="162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一般公共预算财政拨款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一、本年收入</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2104.9</w:t>
            </w: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一、本年支出</w:t>
            </w:r>
          </w:p>
        </w:tc>
        <w:tc>
          <w:tcPr>
            <w:tcW w:w="997"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62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（一）一般公共预算拨款</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2104.9</w:t>
            </w: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（一）一般公共服务支出</w:t>
            </w:r>
          </w:p>
        </w:tc>
        <w:tc>
          <w:tcPr>
            <w:tcW w:w="997" w:type="dxa"/>
            <w:tcBorders>
              <w:top w:val="nil"/>
              <w:left w:val="nil"/>
              <w:bottom w:val="single" w:color="auto" w:sz="4" w:space="0"/>
              <w:right w:val="single" w:color="auto" w:sz="4" w:space="0"/>
            </w:tcBorders>
            <w:vAlign w:val="center"/>
          </w:tcPr>
          <w:p>
            <w:pPr>
              <w:widowControl/>
              <w:tabs>
                <w:tab w:val="left" w:pos="539"/>
                <w:tab w:val="right" w:pos="1121"/>
              </w:tabs>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1617.7</w:t>
            </w:r>
            <w:r>
              <w:rPr>
                <w:rFonts w:hint="eastAsia" w:ascii="仿宋_GB2312" w:hAnsi="宋体" w:eastAsia="仿宋_GB2312" w:cs="宋体"/>
                <w:color w:val="000000"/>
                <w:kern w:val="0"/>
                <w:sz w:val="22"/>
                <w:szCs w:val="22"/>
                <w:lang w:eastAsia="zh-CN"/>
              </w:rPr>
              <w:tab/>
            </w:r>
            <w:r>
              <w:rPr>
                <w:rFonts w:hint="eastAsia" w:ascii="仿宋_GB2312" w:hAnsi="宋体" w:eastAsia="仿宋_GB2312" w:cs="宋体"/>
                <w:color w:val="000000"/>
                <w:kern w:val="0"/>
                <w:sz w:val="22"/>
                <w:szCs w:val="22"/>
              </w:rPr>
              <w:t xml:space="preserve">  </w:t>
            </w:r>
          </w:p>
        </w:tc>
        <w:tc>
          <w:tcPr>
            <w:tcW w:w="162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（二）政府性基金预算财政拨款</w:t>
            </w:r>
          </w:p>
        </w:tc>
        <w:tc>
          <w:tcPr>
            <w:tcW w:w="1551" w:type="dxa"/>
            <w:tcBorders>
              <w:top w:val="nil"/>
              <w:left w:val="nil"/>
              <w:bottom w:val="single" w:color="auto" w:sz="4" w:space="0"/>
              <w:right w:val="single" w:color="auto" w:sz="4" w:space="0"/>
            </w:tcBorders>
            <w:vAlign w:val="center"/>
          </w:tcPr>
          <w:p>
            <w:pPr>
              <w:widowControl/>
              <w:ind w:right="44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numPr>
                <w:ilvl w:val="0"/>
                <w:numId w:val="2"/>
              </w:numP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社会保障支出</w:t>
            </w:r>
          </w:p>
        </w:tc>
        <w:tc>
          <w:tcPr>
            <w:tcW w:w="997" w:type="dxa"/>
            <w:tcBorders>
              <w:top w:val="nil"/>
              <w:left w:val="nil"/>
              <w:bottom w:val="single" w:color="auto" w:sz="4" w:space="0"/>
              <w:right w:val="single" w:color="auto" w:sz="4" w:space="0"/>
            </w:tcBorders>
            <w:vAlign w:val="center"/>
          </w:tcPr>
          <w:p>
            <w:pPr>
              <w:widowControl/>
              <w:tabs>
                <w:tab w:val="left" w:pos="226"/>
                <w:tab w:val="right" w:pos="1121"/>
              </w:tabs>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282.4</w:t>
            </w:r>
          </w:p>
        </w:tc>
        <w:tc>
          <w:tcPr>
            <w:tcW w:w="162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w:t>
            </w:r>
            <w:r>
              <w:rPr>
                <w:rFonts w:hint="eastAsia" w:ascii="仿宋_GB2312" w:hAnsi="宋体" w:eastAsia="仿宋_GB2312" w:cs="宋体"/>
                <w:color w:val="000000"/>
                <w:kern w:val="0"/>
                <w:sz w:val="22"/>
                <w:szCs w:val="22"/>
                <w:lang w:eastAsia="zh-CN"/>
              </w:rPr>
              <w:t>医疗卫生与计划生育支出</w:t>
            </w:r>
          </w:p>
        </w:tc>
        <w:tc>
          <w:tcPr>
            <w:tcW w:w="997" w:type="dxa"/>
            <w:tcBorders>
              <w:top w:val="nil"/>
              <w:left w:val="nil"/>
              <w:bottom w:val="single" w:color="auto" w:sz="4" w:space="0"/>
              <w:right w:val="single" w:color="auto" w:sz="4" w:space="0"/>
            </w:tcBorders>
            <w:vAlign w:val="center"/>
          </w:tcPr>
          <w:p>
            <w:pPr>
              <w:widowControl/>
              <w:tabs>
                <w:tab w:val="center" w:pos="390"/>
                <w:tab w:val="right" w:pos="1011"/>
              </w:tabs>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ab/>
            </w:r>
            <w:r>
              <w:rPr>
                <w:rFonts w:hint="eastAsia" w:ascii="仿宋_GB2312" w:hAnsi="宋体" w:eastAsia="仿宋_GB2312" w:cs="宋体"/>
                <w:color w:val="000000"/>
                <w:kern w:val="0"/>
                <w:sz w:val="22"/>
                <w:szCs w:val="22"/>
                <w:lang w:val="en-US" w:eastAsia="zh-CN"/>
              </w:rPr>
              <w:t>95.1</w:t>
            </w:r>
            <w:r>
              <w:rPr>
                <w:rFonts w:hint="eastAsia" w:ascii="仿宋_GB2312" w:hAnsi="宋体" w:eastAsia="仿宋_GB2312" w:cs="宋体"/>
                <w:color w:val="000000"/>
                <w:kern w:val="0"/>
                <w:sz w:val="22"/>
                <w:szCs w:val="22"/>
                <w:lang w:eastAsia="zh-CN"/>
              </w:rPr>
              <w:tab/>
            </w:r>
            <w:r>
              <w:rPr>
                <w:rFonts w:hint="eastAsia" w:ascii="仿宋_GB2312" w:hAnsi="宋体" w:eastAsia="仿宋_GB2312" w:cs="宋体"/>
                <w:color w:val="000000"/>
                <w:kern w:val="0"/>
                <w:sz w:val="22"/>
                <w:szCs w:val="22"/>
              </w:rPr>
              <w:t xml:space="preserve"> </w:t>
            </w:r>
          </w:p>
        </w:tc>
        <w:tc>
          <w:tcPr>
            <w:tcW w:w="162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51" w:type="dxa"/>
            <w:gridSpan w:val="2"/>
            <w:tcBorders>
              <w:top w:val="nil"/>
              <w:left w:val="nil"/>
              <w:bottom w:val="single" w:color="auto" w:sz="4" w:space="0"/>
              <w:right w:val="single" w:color="auto" w:sz="4" w:space="0"/>
            </w:tcBorders>
            <w:vAlign w:val="center"/>
          </w:tcPr>
          <w:p>
            <w:pPr>
              <w:widowControl/>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eastAsia="zh-CN"/>
              </w:rPr>
              <w:t>（四）住房保障支出</w:t>
            </w:r>
          </w:p>
        </w:tc>
        <w:tc>
          <w:tcPr>
            <w:tcW w:w="997" w:type="dxa"/>
            <w:tcBorders>
              <w:top w:val="nil"/>
              <w:left w:val="nil"/>
              <w:bottom w:val="single" w:color="auto" w:sz="4" w:space="0"/>
              <w:right w:val="single" w:color="auto" w:sz="4" w:space="0"/>
            </w:tcBorders>
            <w:vAlign w:val="center"/>
          </w:tcPr>
          <w:p>
            <w:pPr>
              <w:widowControl/>
              <w:jc w:val="both"/>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109.7</w:t>
            </w:r>
          </w:p>
        </w:tc>
        <w:tc>
          <w:tcPr>
            <w:tcW w:w="1626" w:type="dxa"/>
            <w:tcBorders>
              <w:top w:val="nil"/>
              <w:left w:val="nil"/>
              <w:bottom w:val="single" w:color="auto" w:sz="4" w:space="0"/>
              <w:right w:val="single" w:color="auto" w:sz="4" w:space="0"/>
            </w:tcBorders>
            <w:vAlign w:val="center"/>
          </w:tcPr>
          <w:p>
            <w:pPr>
              <w:widowControl/>
              <w:jc w:val="both"/>
              <w:rPr>
                <w:rFonts w:ascii="仿宋_GB2312" w:hAnsi="宋体" w:eastAsia="仿宋_GB2312" w:cs="宋体"/>
                <w:color w:val="000000"/>
                <w:kern w:val="0"/>
                <w:sz w:val="22"/>
                <w:szCs w:val="22"/>
              </w:rPr>
            </w:pP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二、上年结转</w:t>
            </w:r>
          </w:p>
        </w:tc>
        <w:tc>
          <w:tcPr>
            <w:tcW w:w="1551" w:type="dxa"/>
            <w:tcBorders>
              <w:top w:val="nil"/>
              <w:left w:val="nil"/>
              <w:bottom w:val="single" w:color="auto" w:sz="4" w:space="0"/>
              <w:right w:val="single" w:color="auto" w:sz="4" w:space="0"/>
            </w:tcBorders>
            <w:vAlign w:val="center"/>
          </w:tcPr>
          <w:p>
            <w:pPr>
              <w:widowControl/>
              <w:ind w:right="44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w:t>
            </w:r>
          </w:p>
        </w:tc>
        <w:tc>
          <w:tcPr>
            <w:tcW w:w="997"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62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（一）一般公共预算拨款</w:t>
            </w:r>
          </w:p>
        </w:tc>
        <w:tc>
          <w:tcPr>
            <w:tcW w:w="1551" w:type="dxa"/>
            <w:tcBorders>
              <w:top w:val="nil"/>
              <w:left w:val="nil"/>
              <w:bottom w:val="single" w:color="auto" w:sz="4" w:space="0"/>
              <w:right w:val="single" w:color="auto" w:sz="4" w:space="0"/>
            </w:tcBorders>
            <w:vAlign w:val="center"/>
          </w:tcPr>
          <w:p>
            <w:pPr>
              <w:widowControl/>
              <w:ind w:right="44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w:t>
            </w:r>
          </w:p>
        </w:tc>
        <w:tc>
          <w:tcPr>
            <w:tcW w:w="997" w:type="dxa"/>
            <w:tcBorders>
              <w:top w:val="nil"/>
              <w:left w:val="nil"/>
              <w:bottom w:val="single" w:color="auto" w:sz="4" w:space="0"/>
              <w:right w:val="single" w:color="auto" w:sz="4" w:space="0"/>
            </w:tcBorders>
            <w:vAlign w:val="center"/>
          </w:tcPr>
          <w:p>
            <w:pPr>
              <w:widowControl/>
              <w:jc w:val="both"/>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626" w:type="dxa"/>
            <w:tcBorders>
              <w:top w:val="nil"/>
              <w:left w:val="nil"/>
              <w:bottom w:val="single" w:color="auto" w:sz="4" w:space="0"/>
              <w:right w:val="single" w:color="auto" w:sz="4" w:space="0"/>
            </w:tcBorders>
            <w:vAlign w:val="center"/>
          </w:tcPr>
          <w:p>
            <w:pPr>
              <w:widowControl/>
              <w:jc w:val="both"/>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（二）政府性基金预算拨款</w:t>
            </w:r>
          </w:p>
        </w:tc>
        <w:tc>
          <w:tcPr>
            <w:tcW w:w="1551" w:type="dxa"/>
            <w:tcBorders>
              <w:top w:val="nil"/>
              <w:left w:val="nil"/>
              <w:bottom w:val="single" w:color="auto" w:sz="4" w:space="0"/>
              <w:right w:val="single" w:color="auto" w:sz="4" w:space="0"/>
            </w:tcBorders>
            <w:vAlign w:val="center"/>
          </w:tcPr>
          <w:p>
            <w:pPr>
              <w:widowControl/>
              <w:ind w:right="44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r>
              <w:rPr>
                <w:rFonts w:hint="eastAsia" w:ascii="仿宋_GB2312" w:hAnsi="宋体" w:eastAsia="仿宋_GB2312" w:cs="宋体"/>
                <w:color w:val="000000"/>
                <w:kern w:val="0"/>
                <w:sz w:val="22"/>
                <w:szCs w:val="22"/>
                <w:lang w:val="en-US" w:eastAsia="zh-CN"/>
              </w:rPr>
              <w:t>........</w:t>
            </w:r>
          </w:p>
        </w:tc>
        <w:tc>
          <w:tcPr>
            <w:tcW w:w="997"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2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5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二、结转下年</w:t>
            </w:r>
          </w:p>
        </w:tc>
        <w:tc>
          <w:tcPr>
            <w:tcW w:w="997" w:type="dxa"/>
            <w:tcBorders>
              <w:top w:val="nil"/>
              <w:left w:val="nil"/>
              <w:bottom w:val="single" w:color="auto" w:sz="4" w:space="0"/>
              <w:right w:val="single" w:color="auto" w:sz="4" w:space="0"/>
            </w:tcBorders>
            <w:vAlign w:val="center"/>
          </w:tcPr>
          <w:p>
            <w:pPr>
              <w:widowControl/>
              <w:ind w:right="220"/>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62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701"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5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7"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2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01" w:type="dxa"/>
            <w:tcBorders>
              <w:top w:val="nil"/>
              <w:left w:val="nil"/>
              <w:bottom w:val="single" w:color="auto" w:sz="4" w:space="0"/>
              <w:right w:val="single" w:color="auto" w:sz="8"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761" w:type="dxa"/>
            <w:tcBorders>
              <w:top w:val="nil"/>
              <w:left w:val="single" w:color="auto" w:sz="8" w:space="0"/>
              <w:bottom w:val="single" w:color="auto" w:sz="8"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收 入 总 计</w:t>
            </w:r>
          </w:p>
        </w:tc>
        <w:tc>
          <w:tcPr>
            <w:tcW w:w="1551" w:type="dxa"/>
            <w:tcBorders>
              <w:top w:val="nil"/>
              <w:left w:val="nil"/>
              <w:bottom w:val="single" w:color="auto" w:sz="8"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151" w:type="dxa"/>
            <w:gridSpan w:val="2"/>
            <w:tcBorders>
              <w:top w:val="nil"/>
              <w:left w:val="nil"/>
              <w:bottom w:val="single" w:color="auto" w:sz="8"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支 出 总 计</w:t>
            </w:r>
          </w:p>
        </w:tc>
        <w:tc>
          <w:tcPr>
            <w:tcW w:w="997" w:type="dxa"/>
            <w:tcBorders>
              <w:top w:val="nil"/>
              <w:left w:val="nil"/>
              <w:bottom w:val="single" w:color="auto" w:sz="8" w:space="0"/>
              <w:right w:val="single" w:color="auto" w:sz="4" w:space="0"/>
            </w:tcBorders>
            <w:vAlign w:val="center"/>
          </w:tcPr>
          <w:p>
            <w:pPr>
              <w:widowControl/>
              <w:jc w:val="both"/>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2104.9</w:t>
            </w:r>
            <w:r>
              <w:rPr>
                <w:rFonts w:hint="eastAsia" w:ascii="仿宋_GB2312" w:hAnsi="宋体" w:eastAsia="仿宋_GB2312" w:cs="宋体"/>
                <w:color w:val="000000"/>
                <w:kern w:val="0"/>
                <w:sz w:val="22"/>
                <w:szCs w:val="22"/>
              </w:rPr>
              <w:t xml:space="preserve"> </w:t>
            </w:r>
          </w:p>
        </w:tc>
        <w:tc>
          <w:tcPr>
            <w:tcW w:w="1626" w:type="dxa"/>
            <w:tcBorders>
              <w:top w:val="nil"/>
              <w:left w:val="nil"/>
              <w:bottom w:val="single" w:color="auto" w:sz="8" w:space="0"/>
              <w:right w:val="single" w:color="auto" w:sz="4" w:space="0"/>
            </w:tcBorders>
            <w:vAlign w:val="center"/>
          </w:tcPr>
          <w:p>
            <w:pPr>
              <w:widowControl/>
              <w:jc w:val="both"/>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701"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bl>
    <w:p>
      <w:pPr>
        <w:jc w:val="left"/>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tbl>
      <w:tblPr>
        <w:tblStyle w:val="11"/>
        <w:tblW w:w="1090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4180"/>
        <w:gridCol w:w="1360"/>
        <w:gridCol w:w="1360"/>
        <w:gridCol w:w="681"/>
        <w:gridCol w:w="679"/>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418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3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360" w:type="dxa"/>
            <w:tcBorders>
              <w:top w:val="nil"/>
              <w:left w:val="nil"/>
              <w:bottom w:val="nil"/>
              <w:right w:val="nil"/>
            </w:tcBorders>
            <w:vAlign w:val="center"/>
          </w:tcPr>
          <w:p>
            <w:pPr>
              <w:widowControl/>
              <w:jc w:val="center"/>
              <w:rPr>
                <w:rFonts w:ascii="仿宋_GB2312" w:hAnsi="宋体" w:eastAsia="仿宋_GB2312" w:cs="宋体"/>
                <w:color w:val="000000"/>
                <w:kern w:val="0"/>
                <w:sz w:val="24"/>
              </w:rPr>
            </w:pPr>
          </w:p>
        </w:tc>
        <w:tc>
          <w:tcPr>
            <w:tcW w:w="681"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2239" w:type="dxa"/>
            <w:gridSpan w:val="2"/>
            <w:tcBorders>
              <w:top w:val="nil"/>
              <w:left w:val="nil"/>
              <w:bottom w:val="nil"/>
              <w:right w:val="nil"/>
            </w:tcBorders>
            <w:vAlign w:val="center"/>
          </w:tcPr>
          <w:p>
            <w:pPr>
              <w:widowControl/>
              <w:jc w:val="right"/>
              <w:rPr>
                <w:rFonts w:ascii="黑体" w:hAnsi="黑体" w:eastAsia="黑体" w:cs="宋体"/>
                <w:color w:val="000000"/>
                <w:kern w:val="0"/>
                <w:sz w:val="24"/>
              </w:rPr>
            </w:pPr>
            <w:r>
              <w:rPr>
                <w:rFonts w:hint="eastAsia" w:ascii="黑体" w:hAnsi="黑体" w:eastAsia="黑体" w:cs="宋体"/>
                <w:color w:val="000000"/>
                <w:kern w:val="0"/>
                <w:sz w:val="24"/>
              </w:rPr>
              <w:t>部门公开02表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0900" w:type="dxa"/>
            <w:gridSpan w:val="7"/>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260"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部门：那曲市</w:t>
            </w:r>
            <w:r>
              <w:rPr>
                <w:rFonts w:hint="eastAsia" w:ascii="仿宋_GB2312" w:hAnsi="宋体" w:eastAsia="仿宋_GB2312" w:cs="宋体"/>
                <w:color w:val="000000"/>
                <w:kern w:val="0"/>
                <w:sz w:val="24"/>
                <w:lang w:eastAsia="zh-CN"/>
              </w:rPr>
              <w:t>委员宣传部</w:t>
            </w:r>
            <w:r>
              <w:rPr>
                <w:rFonts w:hint="eastAsia" w:ascii="仿宋_GB2312" w:hAnsi="宋体" w:eastAsia="仿宋_GB2312" w:cs="宋体"/>
                <w:color w:val="000000"/>
                <w:kern w:val="0"/>
                <w:sz w:val="24"/>
              </w:rPr>
              <w:t xml:space="preserve">                     </w:t>
            </w:r>
          </w:p>
        </w:tc>
        <w:tc>
          <w:tcPr>
            <w:tcW w:w="4080" w:type="dxa"/>
            <w:gridSpan w:val="4"/>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2018年度 </w:t>
            </w:r>
          </w:p>
        </w:tc>
        <w:tc>
          <w:tcPr>
            <w:tcW w:w="1560" w:type="dxa"/>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w:t>
            </w:r>
          </w:p>
        </w:tc>
        <w:tc>
          <w:tcPr>
            <w:tcW w:w="4080"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2018年预算数 </w:t>
            </w:r>
          </w:p>
        </w:tc>
        <w:tc>
          <w:tcPr>
            <w:tcW w:w="15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科目编码</w:t>
            </w:r>
          </w:p>
        </w:tc>
        <w:tc>
          <w:tcPr>
            <w:tcW w:w="41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3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小计 </w:t>
            </w:r>
          </w:p>
        </w:tc>
        <w:tc>
          <w:tcPr>
            <w:tcW w:w="13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36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项目支出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w:t>
            </w:r>
            <w:r>
              <w:rPr>
                <w:rFonts w:hint="eastAsia" w:ascii="宋体" w:hAnsi="宋体" w:cs="宋体"/>
                <w:color w:val="000000"/>
                <w:kern w:val="0"/>
                <w:sz w:val="22"/>
                <w:szCs w:val="22"/>
                <w:lang w:val="en-US" w:eastAsia="zh-CN"/>
              </w:rPr>
              <w:t>13301</w:t>
            </w:r>
          </w:p>
        </w:tc>
        <w:tc>
          <w:tcPr>
            <w:tcW w:w="418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1229.7</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1229.7</w:t>
            </w:r>
          </w:p>
        </w:tc>
        <w:tc>
          <w:tcPr>
            <w:tcW w:w="1360"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2013399</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其他宣传事务支出</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388.0</w:t>
            </w:r>
          </w:p>
        </w:tc>
        <w:tc>
          <w:tcPr>
            <w:tcW w:w="1360" w:type="dxa"/>
            <w:tcBorders>
              <w:top w:val="nil"/>
              <w:left w:val="nil"/>
              <w:bottom w:val="single" w:color="auto" w:sz="4" w:space="0"/>
              <w:right w:val="single" w:color="auto" w:sz="4" w:space="0"/>
            </w:tcBorders>
            <w:vAlign w:val="center"/>
          </w:tcPr>
          <w:p>
            <w:pPr>
              <w:widowControl/>
              <w:ind w:firstLine="330" w:firstLineChars="0"/>
              <w:jc w:val="center"/>
              <w:rPr>
                <w:rFonts w:hint="eastAsia" w:ascii="宋体" w:hAnsi="宋体" w:eastAsia="宋体" w:cs="宋体"/>
                <w:color w:val="000000"/>
                <w:kern w:val="0"/>
                <w:sz w:val="22"/>
                <w:szCs w:val="22"/>
                <w:lang w:val="en-US" w:eastAsia="zh-CN"/>
              </w:rPr>
            </w:pPr>
          </w:p>
        </w:tc>
        <w:tc>
          <w:tcPr>
            <w:tcW w:w="1360" w:type="dxa"/>
            <w:gridSpan w:val="2"/>
            <w:tcBorders>
              <w:top w:val="nil"/>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388.0</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机关事务单位基本养老保险缴费支出</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192.6</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192.6</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机关事业单位职业年金缴费支出</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75.1</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75.1</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2080705</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公益性岗位补贴</w:t>
            </w: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2.4</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2080801</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死亡抚恤</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12.3</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行政单位医疗</w:t>
            </w: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77.0</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77.0</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18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公务员医疗补助</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18.1</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住房公积金</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tc>
        <w:tc>
          <w:tcPr>
            <w:tcW w:w="1360" w:type="dxa"/>
            <w:tcBorders>
              <w:top w:val="nil"/>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2104.9</w:t>
            </w:r>
          </w:p>
        </w:tc>
        <w:tc>
          <w:tcPr>
            <w:tcW w:w="1360" w:type="dxa"/>
            <w:tcBorders>
              <w:top w:val="nil"/>
              <w:left w:val="nil"/>
              <w:bottom w:val="single" w:color="auto" w:sz="4" w:space="0"/>
              <w:right w:val="single" w:color="auto" w:sz="4" w:space="0"/>
            </w:tcBorders>
            <w:vAlign w:val="center"/>
          </w:tcPr>
          <w:p>
            <w:pPr>
              <w:widowControl/>
              <w:jc w:val="both"/>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360"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p>
        </w:tc>
        <w:tc>
          <w:tcPr>
            <w:tcW w:w="15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jc w:val="left"/>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tbl>
      <w:tblPr>
        <w:tblStyle w:val="11"/>
        <w:tblW w:w="10702"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3"/>
        <w:gridCol w:w="464"/>
        <w:gridCol w:w="101"/>
        <w:gridCol w:w="1895"/>
        <w:gridCol w:w="1302"/>
        <w:gridCol w:w="584"/>
        <w:gridCol w:w="464"/>
        <w:gridCol w:w="150"/>
        <w:gridCol w:w="2101"/>
        <w:gridCol w:w="167"/>
        <w:gridCol w:w="1135"/>
        <w:gridCol w:w="282"/>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blHeader/>
        </w:trPr>
        <w:tc>
          <w:tcPr>
            <w:tcW w:w="583"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464"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1996"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302"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584"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464"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2251"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302"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1756" w:type="dxa"/>
            <w:gridSpan w:val="2"/>
            <w:tcBorders>
              <w:top w:val="nil"/>
              <w:left w:val="nil"/>
              <w:bottom w:val="nil"/>
              <w:right w:val="nil"/>
            </w:tcBorders>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 xml:space="preserve"> 部门公开03表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blHeader/>
        </w:trPr>
        <w:tc>
          <w:tcPr>
            <w:tcW w:w="10702" w:type="dxa"/>
            <w:gridSpan w:val="13"/>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blHeader/>
        </w:trPr>
        <w:tc>
          <w:tcPr>
            <w:tcW w:w="3043" w:type="dxa"/>
            <w:gridSpan w:val="4"/>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w:t>
            </w:r>
            <w:r>
              <w:rPr>
                <w:rFonts w:hint="eastAsia" w:ascii="仿宋_GB2312" w:hAnsi="宋体" w:eastAsia="仿宋_GB2312" w:cs="宋体"/>
                <w:color w:val="000000"/>
                <w:kern w:val="0"/>
                <w:sz w:val="22"/>
                <w:szCs w:val="22"/>
                <w:lang w:eastAsia="zh-CN"/>
              </w:rPr>
              <w:t>委宣传部</w:t>
            </w:r>
          </w:p>
        </w:tc>
        <w:tc>
          <w:tcPr>
            <w:tcW w:w="4601"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2018年度</w:t>
            </w:r>
          </w:p>
        </w:tc>
        <w:tc>
          <w:tcPr>
            <w:tcW w:w="3058" w:type="dxa"/>
            <w:gridSpan w:val="4"/>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blHeader/>
        </w:trPr>
        <w:tc>
          <w:tcPr>
            <w:tcW w:w="434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政府预算经济分类</w:t>
            </w:r>
          </w:p>
        </w:tc>
        <w:tc>
          <w:tcPr>
            <w:tcW w:w="6357"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blHeader/>
        </w:trPr>
        <w:tc>
          <w:tcPr>
            <w:tcW w:w="11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科目编码</w:t>
            </w:r>
          </w:p>
        </w:tc>
        <w:tc>
          <w:tcPr>
            <w:tcW w:w="189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302"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合计 </w:t>
            </w:r>
          </w:p>
        </w:tc>
        <w:tc>
          <w:tcPr>
            <w:tcW w:w="1198"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科目编码</w:t>
            </w:r>
          </w:p>
        </w:tc>
        <w:tc>
          <w:tcPr>
            <w:tcW w:w="226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41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人员经费 </w:t>
            </w:r>
          </w:p>
        </w:tc>
        <w:tc>
          <w:tcPr>
            <w:tcW w:w="1474"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blHeader/>
        </w:trPr>
        <w:tc>
          <w:tcPr>
            <w:tcW w:w="58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类</w:t>
            </w:r>
          </w:p>
        </w:tc>
        <w:tc>
          <w:tcPr>
            <w:tcW w:w="56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款</w:t>
            </w:r>
          </w:p>
        </w:tc>
        <w:tc>
          <w:tcPr>
            <w:tcW w:w="189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类</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款</w:t>
            </w:r>
          </w:p>
        </w:tc>
        <w:tc>
          <w:tcPr>
            <w:tcW w:w="22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1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4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505</w:t>
            </w:r>
          </w:p>
        </w:tc>
        <w:tc>
          <w:tcPr>
            <w:tcW w:w="56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8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对事业单位经常性补助</w:t>
            </w:r>
          </w:p>
        </w:tc>
        <w:tc>
          <w:tcPr>
            <w:tcW w:w="1302" w:type="dxa"/>
            <w:tcBorders>
              <w:top w:val="nil"/>
              <w:left w:val="nil"/>
              <w:bottom w:val="single" w:color="auto" w:sz="4" w:space="0"/>
              <w:right w:val="single" w:color="auto" w:sz="4" w:space="0"/>
            </w:tcBorders>
            <w:vAlign w:val="center"/>
          </w:tcPr>
          <w:p>
            <w:pPr>
              <w:widowControl/>
              <w:rPr>
                <w:rFonts w:ascii="仿宋_GB2312" w:hAnsi="宋体" w:eastAsia="仿宋_GB2312" w:cs="宋体"/>
                <w:b/>
                <w:bCs/>
                <w:color w:val="000000"/>
                <w:kern w:val="0"/>
                <w:sz w:val="22"/>
                <w:szCs w:val="22"/>
              </w:rPr>
            </w:pP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47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56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w:t>
            </w:r>
          </w:p>
        </w:tc>
        <w:tc>
          <w:tcPr>
            <w:tcW w:w="189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工资福利支出</w:t>
            </w:r>
          </w:p>
        </w:tc>
        <w:tc>
          <w:tcPr>
            <w:tcW w:w="130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1,665.3 </w:t>
            </w: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301</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工资福利支出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lang w:val="en-US" w:eastAsia="zh-CN"/>
              </w:rPr>
              <w:t>1508.4</w:t>
            </w:r>
            <w:r>
              <w:rPr>
                <w:rFonts w:hint="eastAsia" w:ascii="仿宋_GB2312" w:hAnsi="宋体" w:eastAsia="仿宋_GB2312" w:cs="宋体"/>
                <w:b/>
                <w:bCs/>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基本工资</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899.4</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津贴补贴</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18.9</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03</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奖金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75.1</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06</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伙食补助费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31.2</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08</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机关事业单位基本养老保险缴费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192.6</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职业年金缴费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75.1</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职工基本医疗保险缴费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77.0</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r>
              <w:rPr>
                <w:rFonts w:hint="eastAsia" w:ascii="仿宋_GB2312" w:hAnsi="宋体" w:eastAsia="仿宋_GB2312" w:cs="宋体"/>
                <w:color w:val="000000"/>
                <w:kern w:val="0"/>
                <w:sz w:val="22"/>
                <w:szCs w:val="22"/>
                <w:lang w:val="en-US" w:eastAsia="zh-CN"/>
              </w:rPr>
              <w:t>1</w:t>
            </w:r>
          </w:p>
        </w:tc>
        <w:tc>
          <w:tcPr>
            <w:tcW w:w="2268"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eastAsia="zh-CN"/>
              </w:rPr>
              <w:t>公务员医疗保险缴费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18.1</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12</w:t>
            </w:r>
          </w:p>
        </w:tc>
        <w:tc>
          <w:tcPr>
            <w:tcW w:w="2268"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eastAsia="zh-CN"/>
              </w:rPr>
              <w:t>其他社会保障缴费</w:t>
            </w:r>
          </w:p>
        </w:tc>
        <w:tc>
          <w:tcPr>
            <w:tcW w:w="1417" w:type="dxa"/>
            <w:gridSpan w:val="2"/>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11.3</w:t>
            </w:r>
          </w:p>
        </w:tc>
        <w:tc>
          <w:tcPr>
            <w:tcW w:w="1474"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住房公积金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r>
              <w:rPr>
                <w:rFonts w:hint="eastAsia" w:ascii="仿宋_GB2312" w:hAnsi="宋体" w:eastAsia="仿宋_GB2312" w:cs="宋体"/>
                <w:color w:val="000000"/>
                <w:kern w:val="0"/>
                <w:sz w:val="22"/>
                <w:szCs w:val="22"/>
                <w:lang w:val="en-US" w:eastAsia="zh-CN"/>
              </w:rPr>
              <w:t>09.7</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其他工资福利支出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72.6</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56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w:t>
            </w:r>
          </w:p>
        </w:tc>
        <w:tc>
          <w:tcPr>
            <w:tcW w:w="189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商品和服务支出</w:t>
            </w:r>
          </w:p>
        </w:tc>
        <w:tc>
          <w:tcPr>
            <w:tcW w:w="130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131.6 </w:t>
            </w: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302</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商品和服务支出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        -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lang w:val="en-US" w:eastAsia="zh-CN"/>
              </w:rPr>
              <w:t>12</w:t>
            </w:r>
            <w:r>
              <w:rPr>
                <w:rFonts w:hint="eastAsia" w:ascii="仿宋_GB2312" w:hAnsi="宋体" w:eastAsia="仿宋_GB2312" w:cs="宋体"/>
                <w:b/>
                <w:bCs/>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办公费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4.6</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02</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印刷费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1.0</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06</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1.6</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07</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邮电费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08</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取暖费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16.6</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差旅费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25.0</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维修（护）费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2.6</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会议费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2.6</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培训费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4.2</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公务接待费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2.3</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福利费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0.4</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公务用车运行维护费</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28.9</w:t>
            </w:r>
            <w:r>
              <w:rPr>
                <w:rFonts w:hint="eastAsia" w:ascii="仿宋_GB2312" w:hAnsi="宋体" w:eastAsia="仿宋_GB2312" w:cs="宋体"/>
                <w:color w:val="000000"/>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其他商品和服务支出</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56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03</w:t>
            </w:r>
          </w:p>
        </w:tc>
        <w:tc>
          <w:tcPr>
            <w:tcW w:w="189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其他对事业单位补助</w:t>
            </w:r>
          </w:p>
        </w:tc>
        <w:tc>
          <w:tcPr>
            <w:tcW w:w="1302"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p>
            <w:pPr>
              <w:ind w:firstLine="429" w:firstLineChars="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13.8</w:t>
            </w:r>
          </w:p>
        </w:tc>
        <w:tc>
          <w:tcPr>
            <w:tcW w:w="5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303</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对个人和家庭的补助</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lang w:val="en-US" w:eastAsia="zh-CN"/>
              </w:rPr>
              <w:t>13.8</w:t>
            </w:r>
            <w:r>
              <w:rPr>
                <w:rFonts w:hint="eastAsia" w:ascii="仿宋_GB2312" w:hAnsi="宋体" w:eastAsia="仿宋_GB2312" w:cs="宋体"/>
                <w:b/>
                <w:bCs/>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04</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抚恤金</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12.3</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8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56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3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5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1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99</w:t>
            </w:r>
          </w:p>
        </w:tc>
        <w:tc>
          <w:tcPr>
            <w:tcW w:w="22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其他对个人和家庭的补助</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1.5</w:t>
            </w:r>
            <w:r>
              <w:rPr>
                <w:rFonts w:hint="eastAsia" w:ascii="仿宋_GB2312" w:hAnsi="宋体" w:eastAsia="仿宋_GB2312" w:cs="宋体"/>
                <w:color w:val="000000"/>
                <w:kern w:val="0"/>
                <w:sz w:val="22"/>
                <w:szCs w:val="22"/>
              </w:rPr>
              <w:t xml:space="preserve"> </w:t>
            </w:r>
          </w:p>
        </w:tc>
        <w:tc>
          <w:tcPr>
            <w:tcW w:w="1474"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04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合计</w:t>
            </w:r>
          </w:p>
        </w:tc>
        <w:tc>
          <w:tcPr>
            <w:tcW w:w="1302"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tc>
        <w:tc>
          <w:tcPr>
            <w:tcW w:w="3466"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17" w:type="dxa"/>
            <w:gridSpan w:val="2"/>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tc>
        <w:tc>
          <w:tcPr>
            <w:tcW w:w="1474" w:type="dxa"/>
            <w:tcBorders>
              <w:top w:val="nil"/>
              <w:left w:val="nil"/>
              <w:bottom w:val="single" w:color="auto" w:sz="4" w:space="0"/>
              <w:right w:val="single" w:color="auto" w:sz="4" w:space="0"/>
            </w:tcBorders>
            <w:vAlign w:val="center"/>
          </w:tcPr>
          <w:p>
            <w:pPr>
              <w:widowControl/>
              <w:ind w:right="42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p>
        </w:tc>
      </w:tr>
    </w:tbl>
    <w:p>
      <w:pPr>
        <w:jc w:val="left"/>
        <w:rPr>
          <w:rFonts w:ascii="黑体" w:eastAsia="黑体"/>
          <w:szCs w:val="21"/>
        </w:rPr>
      </w:pPr>
    </w:p>
    <w:p>
      <w:pPr>
        <w:widowControl/>
        <w:jc w:val="left"/>
        <w:rPr>
          <w:rFonts w:ascii="黑体" w:eastAsia="黑体"/>
          <w:szCs w:val="21"/>
        </w:rPr>
        <w:sectPr>
          <w:pgSz w:w="11906" w:h="16838"/>
          <w:pgMar w:top="1440" w:right="663" w:bottom="1440" w:left="663" w:header="851" w:footer="992" w:gutter="0"/>
          <w:cols w:space="720" w:num="1"/>
          <w:docGrid w:type="lines" w:linePitch="312" w:charSpace="0"/>
        </w:sectPr>
      </w:pPr>
      <w:r>
        <w:rPr>
          <w:rFonts w:ascii="黑体" w:eastAsia="黑体"/>
          <w:szCs w:val="21"/>
        </w:rPr>
        <w:br w:type="page"/>
      </w:r>
    </w:p>
    <w:tbl>
      <w:tblPr>
        <w:tblStyle w:val="11"/>
        <w:tblW w:w="14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7"/>
        <w:gridCol w:w="813"/>
        <w:gridCol w:w="344"/>
        <w:gridCol w:w="664"/>
        <w:gridCol w:w="567"/>
        <w:gridCol w:w="425"/>
        <w:gridCol w:w="766"/>
        <w:gridCol w:w="220"/>
        <w:gridCol w:w="855"/>
        <w:gridCol w:w="101"/>
        <w:gridCol w:w="529"/>
        <w:gridCol w:w="217"/>
        <w:gridCol w:w="425"/>
        <w:gridCol w:w="425"/>
        <w:gridCol w:w="208"/>
        <w:gridCol w:w="499"/>
        <w:gridCol w:w="300"/>
        <w:gridCol w:w="407"/>
        <w:gridCol w:w="312"/>
        <w:gridCol w:w="535"/>
        <w:gridCol w:w="267"/>
        <w:gridCol w:w="443"/>
        <w:gridCol w:w="86"/>
        <w:gridCol w:w="639"/>
        <w:gridCol w:w="633"/>
        <w:gridCol w:w="56"/>
        <w:gridCol w:w="743"/>
        <w:gridCol w:w="342"/>
        <w:gridCol w:w="401"/>
        <w:gridCol w:w="802"/>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137"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57"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231"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91"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1176" w:type="dxa"/>
            <w:gridSpan w:val="3"/>
            <w:tcBorders>
              <w:top w:val="nil"/>
              <w:left w:val="nil"/>
              <w:bottom w:val="nil"/>
              <w:right w:val="nil"/>
            </w:tcBorders>
            <w:vAlign w:val="center"/>
          </w:tcPr>
          <w:p>
            <w:pPr>
              <w:widowControl/>
              <w:jc w:val="left"/>
              <w:rPr>
                <w:rFonts w:ascii="宋体" w:hAnsi="宋体" w:cs="宋体"/>
                <w:color w:val="000000"/>
                <w:kern w:val="0"/>
                <w:sz w:val="22"/>
                <w:szCs w:val="22"/>
              </w:rPr>
            </w:pPr>
          </w:p>
        </w:tc>
        <w:tc>
          <w:tcPr>
            <w:tcW w:w="529"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642"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633"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799"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719"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802"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529"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639"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633"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799"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c>
          <w:tcPr>
            <w:tcW w:w="342"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892" w:type="dxa"/>
            <w:gridSpan w:val="3"/>
            <w:tcBorders>
              <w:top w:val="nil"/>
              <w:left w:val="nil"/>
              <w:bottom w:val="nil"/>
              <w:right w:val="nil"/>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850" w:type="dxa"/>
            <w:gridSpan w:val="31"/>
            <w:tcBorders>
              <w:top w:val="nil"/>
              <w:left w:val="nil"/>
              <w:bottom w:val="nil"/>
              <w:right w:val="nil"/>
            </w:tcBorders>
            <w:vAlign w:val="center"/>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4716" w:type="dxa"/>
            <w:gridSpan w:val="7"/>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w:t>
            </w:r>
            <w:r>
              <w:rPr>
                <w:rFonts w:hint="eastAsia" w:ascii="仿宋_GB2312" w:hAnsi="宋体" w:eastAsia="仿宋_GB2312" w:cs="宋体"/>
                <w:color w:val="000000"/>
                <w:kern w:val="0"/>
                <w:sz w:val="22"/>
                <w:szCs w:val="22"/>
                <w:lang w:eastAsia="zh-CN"/>
              </w:rPr>
              <w:t>委宣传部</w:t>
            </w:r>
          </w:p>
        </w:tc>
        <w:tc>
          <w:tcPr>
            <w:tcW w:w="8643" w:type="dxa"/>
            <w:gridSpan w:val="2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2018年度</w:t>
            </w:r>
          </w:p>
        </w:tc>
        <w:tc>
          <w:tcPr>
            <w:tcW w:w="1491" w:type="dxa"/>
            <w:gridSpan w:val="2"/>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57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2017年预算数</w:t>
            </w:r>
          </w:p>
        </w:tc>
        <w:tc>
          <w:tcPr>
            <w:tcW w:w="4668" w:type="dxa"/>
            <w:gridSpan w:val="1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2017年预算执行数</w:t>
            </w:r>
          </w:p>
        </w:tc>
        <w:tc>
          <w:tcPr>
            <w:tcW w:w="4391" w:type="dxa"/>
            <w:gridSpan w:val="9"/>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2018年预算数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13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81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因公出国(境)费</w:t>
            </w:r>
          </w:p>
        </w:tc>
        <w:tc>
          <w:tcPr>
            <w:tcW w:w="2986"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公务用车购置及运行费</w:t>
            </w:r>
          </w:p>
        </w:tc>
        <w:tc>
          <w:tcPr>
            <w:tcW w:w="85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公务接待费</w:t>
            </w:r>
          </w:p>
        </w:tc>
        <w:tc>
          <w:tcPr>
            <w:tcW w:w="847"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85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因公出国(境)费</w:t>
            </w:r>
          </w:p>
        </w:tc>
        <w:tc>
          <w:tcPr>
            <w:tcW w:w="2261" w:type="dxa"/>
            <w:gridSpan w:val="6"/>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公务用车购置及运行费</w:t>
            </w:r>
          </w:p>
        </w:tc>
        <w:tc>
          <w:tcPr>
            <w:tcW w:w="71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公务接待费</w:t>
            </w:r>
          </w:p>
        </w:tc>
        <w:tc>
          <w:tcPr>
            <w:tcW w:w="72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68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因公出国(境)费</w:t>
            </w:r>
          </w:p>
        </w:tc>
        <w:tc>
          <w:tcPr>
            <w:tcW w:w="2288"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公务用车购置及运行费</w:t>
            </w:r>
          </w:p>
        </w:tc>
        <w:tc>
          <w:tcPr>
            <w:tcW w:w="68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00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小计</w:t>
            </w:r>
          </w:p>
        </w:tc>
        <w:tc>
          <w:tcPr>
            <w:tcW w:w="99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公务用车购置费</w:t>
            </w:r>
          </w:p>
        </w:tc>
        <w:tc>
          <w:tcPr>
            <w:tcW w:w="98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公务用车运行费</w:t>
            </w:r>
          </w:p>
        </w:tc>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4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小计</w:t>
            </w:r>
          </w:p>
        </w:tc>
        <w:tc>
          <w:tcPr>
            <w:tcW w:w="7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公务用车购置费</w:t>
            </w:r>
          </w:p>
        </w:tc>
        <w:tc>
          <w:tcPr>
            <w:tcW w:w="84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公务用车运行费</w:t>
            </w:r>
          </w:p>
        </w:tc>
        <w:tc>
          <w:tcPr>
            <w:tcW w:w="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8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小计</w:t>
            </w:r>
          </w:p>
        </w:tc>
        <w:tc>
          <w:tcPr>
            <w:tcW w:w="74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公务用车购置费</w:t>
            </w:r>
          </w:p>
        </w:tc>
        <w:tc>
          <w:tcPr>
            <w:tcW w:w="80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公务用车运行费</w:t>
            </w: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137" w:type="dxa"/>
            <w:tcBorders>
              <w:top w:val="nil"/>
              <w:left w:val="single" w:color="auto" w:sz="4" w:space="0"/>
              <w:bottom w:val="single" w:color="auto" w:sz="4" w:space="0"/>
              <w:right w:val="single" w:color="auto" w:sz="4" w:space="0"/>
            </w:tcBorders>
            <w:vAlign w:val="center"/>
          </w:tcPr>
          <w:p>
            <w:pPr>
              <w:widowControl/>
              <w:jc w:val="both"/>
              <w:rPr>
                <w:rFonts w:hint="eastAsia" w:ascii="仿宋_GB2312" w:hAnsi="宋体" w:eastAsia="仿宋_GB2312" w:cs="宋体"/>
                <w:color w:val="000000"/>
                <w:kern w:val="0"/>
                <w:sz w:val="22"/>
                <w:szCs w:val="22"/>
                <w:lang w:val="en-US" w:eastAsia="zh-CN"/>
              </w:rPr>
            </w:pPr>
          </w:p>
        </w:tc>
        <w:tc>
          <w:tcPr>
            <w:tcW w:w="81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1008" w:type="dxa"/>
            <w:gridSpan w:val="2"/>
            <w:tcBorders>
              <w:top w:val="nil"/>
              <w:left w:val="nil"/>
              <w:bottom w:val="single" w:color="auto" w:sz="4" w:space="0"/>
              <w:right w:val="single" w:color="auto" w:sz="4" w:space="0"/>
            </w:tcBorders>
            <w:vAlign w:val="center"/>
          </w:tcPr>
          <w:p>
            <w:pPr>
              <w:widowControl/>
              <w:jc w:val="both"/>
              <w:rPr>
                <w:rFonts w:hint="eastAsia" w:ascii="仿宋_GB2312" w:hAnsi="宋体" w:eastAsia="仿宋_GB2312" w:cs="宋体"/>
                <w:color w:val="000000"/>
                <w:kern w:val="0"/>
                <w:sz w:val="22"/>
                <w:szCs w:val="22"/>
                <w:lang w:val="en-US" w:eastAsia="zh-CN"/>
              </w:rPr>
            </w:pPr>
          </w:p>
        </w:tc>
        <w:tc>
          <w:tcPr>
            <w:tcW w:w="992"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w:t>
            </w:r>
          </w:p>
        </w:tc>
        <w:tc>
          <w:tcPr>
            <w:tcW w:w="986" w:type="dxa"/>
            <w:gridSpan w:val="2"/>
            <w:tcBorders>
              <w:top w:val="nil"/>
              <w:left w:val="nil"/>
              <w:bottom w:val="single" w:color="auto" w:sz="4" w:space="0"/>
              <w:right w:val="single" w:color="auto" w:sz="4" w:space="0"/>
            </w:tcBorders>
            <w:vAlign w:val="center"/>
          </w:tcPr>
          <w:p>
            <w:pPr>
              <w:widowControl/>
              <w:jc w:val="both"/>
              <w:rPr>
                <w:rFonts w:hint="eastAsia" w:ascii="仿宋_GB2312" w:hAnsi="宋体" w:eastAsia="仿宋_GB2312" w:cs="宋体"/>
                <w:color w:val="000000"/>
                <w:kern w:val="0"/>
                <w:sz w:val="22"/>
                <w:szCs w:val="22"/>
                <w:lang w:val="en-US" w:eastAsia="zh-CN"/>
              </w:rPr>
            </w:pPr>
          </w:p>
        </w:tc>
        <w:tc>
          <w:tcPr>
            <w:tcW w:w="855" w:type="dxa"/>
            <w:tcBorders>
              <w:top w:val="nil"/>
              <w:left w:val="nil"/>
              <w:bottom w:val="single" w:color="auto" w:sz="4" w:space="0"/>
              <w:right w:val="single" w:color="auto" w:sz="4" w:space="0"/>
            </w:tcBorders>
            <w:vAlign w:val="center"/>
          </w:tcPr>
          <w:p>
            <w:pPr>
              <w:widowControl/>
              <w:jc w:val="both"/>
              <w:rPr>
                <w:rFonts w:hint="eastAsia" w:ascii="仿宋_GB2312" w:hAnsi="宋体" w:eastAsia="仿宋_GB2312" w:cs="宋体"/>
                <w:color w:val="000000"/>
                <w:kern w:val="0"/>
                <w:sz w:val="22"/>
                <w:szCs w:val="22"/>
                <w:lang w:val="en-US" w:eastAsia="zh-CN"/>
              </w:rPr>
            </w:pPr>
          </w:p>
        </w:tc>
        <w:tc>
          <w:tcPr>
            <w:tcW w:w="847" w:type="dxa"/>
            <w:gridSpan w:val="3"/>
            <w:tcBorders>
              <w:top w:val="nil"/>
              <w:left w:val="nil"/>
              <w:bottom w:val="single" w:color="auto" w:sz="4" w:space="0"/>
              <w:right w:val="single" w:color="auto" w:sz="4" w:space="0"/>
            </w:tcBorders>
            <w:vAlign w:val="center"/>
          </w:tcPr>
          <w:p>
            <w:pPr>
              <w:widowControl/>
              <w:jc w:val="both"/>
              <w:rPr>
                <w:rFonts w:ascii="仿宋_GB2312" w:hAnsi="宋体" w:eastAsia="仿宋_GB2312" w:cs="宋体"/>
                <w:color w:val="000000"/>
                <w:kern w:val="0"/>
                <w:sz w:val="22"/>
                <w:szCs w:val="22"/>
              </w:rPr>
            </w:pPr>
          </w:p>
        </w:tc>
        <w:tc>
          <w:tcPr>
            <w:tcW w:w="850"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33.3</w:t>
            </w:r>
          </w:p>
        </w:tc>
        <w:tc>
          <w:tcPr>
            <w:tcW w:w="70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84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26.5</w:t>
            </w:r>
          </w:p>
        </w:tc>
        <w:tc>
          <w:tcPr>
            <w:tcW w:w="710"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6.8</w:t>
            </w:r>
            <w:bookmarkStart w:id="0" w:name="_GoBack"/>
            <w:bookmarkEnd w:id="0"/>
          </w:p>
        </w:tc>
        <w:tc>
          <w:tcPr>
            <w:tcW w:w="725"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97.8</w:t>
            </w:r>
          </w:p>
        </w:tc>
        <w:tc>
          <w:tcPr>
            <w:tcW w:w="68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c>
          <w:tcPr>
            <w:tcW w:w="74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80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86.5</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4" w:hRule="atLeast"/>
        </w:trPr>
        <w:tc>
          <w:tcPr>
            <w:tcW w:w="14850" w:type="dxa"/>
            <w:gridSpan w:val="31"/>
            <w:tcBorders>
              <w:top w:val="single" w:color="auto" w:sz="4" w:space="0"/>
              <w:left w:val="nil"/>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注：1.如此表无数据，则以空表形式公开，请不要删除此表；</w:t>
            </w:r>
          </w:p>
          <w:p>
            <w:pPr>
              <w:widowControl/>
              <w:jc w:val="left"/>
              <w:rPr>
                <w:rFonts w:ascii="宋体" w:hAnsi="宋体" w:cs="宋体"/>
                <w:color w:val="000000"/>
                <w:kern w:val="0"/>
                <w:sz w:val="22"/>
                <w:szCs w:val="22"/>
              </w:rPr>
            </w:pPr>
            <w:r>
              <w:rPr>
                <w:rFonts w:hint="eastAsia" w:ascii="仿宋_GB2312" w:hAnsi="宋体" w:eastAsia="仿宋_GB2312" w:cs="宋体"/>
                <w:color w:val="000000"/>
                <w:kern w:val="0"/>
                <w:sz w:val="22"/>
                <w:szCs w:val="22"/>
              </w:rPr>
              <w:t>　  2.如此表为空表，请说明原因。</w:t>
            </w:r>
          </w:p>
        </w:tc>
      </w:tr>
    </w:tbl>
    <w:p>
      <w:pPr>
        <w:jc w:val="left"/>
        <w:rPr>
          <w:rFonts w:ascii="黑体" w:eastAsia="黑体"/>
          <w:szCs w:val="21"/>
        </w:rPr>
      </w:pPr>
    </w:p>
    <w:p>
      <w:pPr>
        <w:jc w:val="left"/>
        <w:rPr>
          <w:rFonts w:ascii="黑体" w:eastAsia="黑体"/>
          <w:sz w:val="32"/>
          <w:szCs w:val="32"/>
        </w:rPr>
        <w:sectPr>
          <w:pgSz w:w="16838" w:h="11906" w:orient="landscape"/>
          <w:pgMar w:top="1797" w:right="1165" w:bottom="1797" w:left="1157" w:header="851" w:footer="992" w:gutter="0"/>
          <w:cols w:space="720" w:num="1"/>
          <w:docGrid w:type="lines" w:linePitch="312" w:charSpace="0"/>
        </w:sectPr>
      </w:pPr>
    </w:p>
    <w:tbl>
      <w:tblPr>
        <w:tblStyle w:val="11"/>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33"/>
        <w:gridCol w:w="1733"/>
        <w:gridCol w:w="1156"/>
        <w:gridCol w:w="195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733"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733"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156"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3900" w:type="dxa"/>
            <w:gridSpan w:val="2"/>
            <w:tcBorders>
              <w:top w:val="nil"/>
              <w:left w:val="nil"/>
              <w:bottom w:val="nil"/>
              <w:right w:val="nil"/>
            </w:tcBorders>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8522" w:type="dxa"/>
            <w:gridSpan w:val="5"/>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3466"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部门：那曲市</w:t>
            </w:r>
            <w:r>
              <w:rPr>
                <w:rFonts w:hint="eastAsia" w:ascii="仿宋_GB2312" w:hAnsi="宋体" w:eastAsia="仿宋_GB2312" w:cs="宋体"/>
                <w:color w:val="000000"/>
                <w:kern w:val="0"/>
                <w:sz w:val="24"/>
                <w:lang w:eastAsia="zh-CN"/>
              </w:rPr>
              <w:t>委宣传部</w:t>
            </w:r>
          </w:p>
        </w:tc>
        <w:tc>
          <w:tcPr>
            <w:tcW w:w="1156" w:type="dxa"/>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900" w:type="dxa"/>
            <w:gridSpan w:val="2"/>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科目编码</w:t>
            </w:r>
          </w:p>
        </w:tc>
        <w:tc>
          <w:tcPr>
            <w:tcW w:w="1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　</w:t>
            </w:r>
          </w:p>
        </w:tc>
        <w:tc>
          <w:tcPr>
            <w:tcW w:w="505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4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1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9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8522" w:type="dxa"/>
            <w:gridSpan w:val="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注：1.如此表无数据，则以空表形式公开，请不要删除此表；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8522" w:type="dxa"/>
            <w:gridSpan w:val="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2.如此表为空表，请说明原因。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9" w:hRule="atLeast"/>
        </w:trPr>
        <w:tc>
          <w:tcPr>
            <w:tcW w:w="8522" w:type="dxa"/>
            <w:gridSpan w:val="5"/>
            <w:tcBorders>
              <w:top w:val="nil"/>
              <w:left w:val="nil"/>
              <w:bottom w:val="nil"/>
              <w:right w:val="nil"/>
            </w:tcBorders>
            <w:vAlign w:val="center"/>
          </w:tcPr>
          <w:p>
            <w:pPr>
              <w:widowControl/>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说明：我单位2018年度没有安排政府性基金预算支出。</w:t>
            </w:r>
          </w:p>
        </w:tc>
      </w:tr>
    </w:tbl>
    <w:p>
      <w:pPr>
        <w:jc w:val="left"/>
        <w:rPr>
          <w:rFonts w:ascii="黑体" w:eastAsia="黑体"/>
          <w:sz w:val="24"/>
        </w:rPr>
      </w:pPr>
    </w:p>
    <w:p>
      <w:pPr>
        <w:jc w:val="left"/>
        <w:rPr>
          <w:rFonts w:ascii="黑体" w:eastAsia="黑体"/>
          <w:sz w:val="24"/>
        </w:rPr>
      </w:pPr>
    </w:p>
    <w:p>
      <w:pPr>
        <w:widowControl/>
        <w:jc w:val="left"/>
        <w:rPr>
          <w:rFonts w:ascii="黑体" w:eastAsia="黑体"/>
          <w:sz w:val="24"/>
        </w:rPr>
      </w:pPr>
      <w:r>
        <w:rPr>
          <w:rFonts w:ascii="黑体" w:eastAsia="黑体"/>
          <w:sz w:val="24"/>
        </w:rPr>
        <w:br w:type="page"/>
      </w:r>
    </w:p>
    <w:tbl>
      <w:tblPr>
        <w:tblStyle w:val="11"/>
        <w:tblW w:w="8428"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29"/>
        <w:gridCol w:w="986"/>
        <w:gridCol w:w="2757"/>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929"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986"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2757"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756" w:type="dxa"/>
            <w:tcBorders>
              <w:top w:val="nil"/>
              <w:left w:val="nil"/>
              <w:bottom w:val="nil"/>
              <w:right w:val="nil"/>
            </w:tcBorders>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 xml:space="preserve"> 部门公开06表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428" w:type="dxa"/>
            <w:gridSpan w:val="4"/>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929"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部门：那曲市疾控中心</w:t>
            </w:r>
          </w:p>
        </w:tc>
        <w:tc>
          <w:tcPr>
            <w:tcW w:w="3743" w:type="dxa"/>
            <w:gridSpan w:val="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2018年度</w:t>
            </w:r>
          </w:p>
        </w:tc>
        <w:tc>
          <w:tcPr>
            <w:tcW w:w="1756" w:type="dxa"/>
            <w:tcBorders>
              <w:top w:val="nil"/>
              <w:left w:val="nil"/>
              <w:bottom w:val="nil"/>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收入</w:t>
            </w:r>
          </w:p>
        </w:tc>
        <w:tc>
          <w:tcPr>
            <w:tcW w:w="451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预算数 </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预算数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一、一般公共预算拨款收入</w:t>
            </w:r>
          </w:p>
        </w:tc>
        <w:tc>
          <w:tcPr>
            <w:tcW w:w="98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2104.9</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（一）一般公共服务支出</w:t>
            </w:r>
          </w:p>
        </w:tc>
        <w:tc>
          <w:tcPr>
            <w:tcW w:w="175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1617.7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二、政府性基金预算拨款收入</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（二）社会保障和就业支出</w:t>
            </w:r>
          </w:p>
        </w:tc>
        <w:tc>
          <w:tcPr>
            <w:tcW w:w="175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三、事业收入</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（三）医疗卫生与计划生育支出</w:t>
            </w:r>
          </w:p>
        </w:tc>
        <w:tc>
          <w:tcPr>
            <w:tcW w:w="175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四、事业单位经营收入</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w:t>
            </w:r>
            <w:r>
              <w:rPr>
                <w:rFonts w:hint="eastAsia" w:ascii="仿宋_GB2312" w:hAnsi="宋体" w:eastAsia="仿宋_GB2312" w:cs="宋体"/>
                <w:color w:val="000000"/>
                <w:kern w:val="0"/>
                <w:sz w:val="22"/>
                <w:szCs w:val="22"/>
                <w:lang w:eastAsia="zh-CN"/>
              </w:rPr>
              <w:t>住房保障支出</w:t>
            </w:r>
          </w:p>
        </w:tc>
        <w:tc>
          <w:tcPr>
            <w:tcW w:w="175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五、其他收入</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（五）公益性岗位补助公益性岗位补助</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8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275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（六）住房保障支出</w:t>
            </w:r>
          </w:p>
        </w:tc>
        <w:tc>
          <w:tcPr>
            <w:tcW w:w="175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本年收入合计</w:t>
            </w:r>
          </w:p>
        </w:tc>
        <w:tc>
          <w:tcPr>
            <w:tcW w:w="98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2104.9</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本年支出合计</w:t>
            </w:r>
          </w:p>
        </w:tc>
        <w:tc>
          <w:tcPr>
            <w:tcW w:w="175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用事业基金弥补收支差额</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上年结转</w:t>
            </w:r>
          </w:p>
        </w:tc>
        <w:tc>
          <w:tcPr>
            <w:tcW w:w="98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结转下年</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8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292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收 入 总 计</w:t>
            </w:r>
          </w:p>
        </w:tc>
        <w:tc>
          <w:tcPr>
            <w:tcW w:w="98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2104.9</w:t>
            </w:r>
          </w:p>
        </w:tc>
        <w:tc>
          <w:tcPr>
            <w:tcW w:w="27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支出总计</w:t>
            </w:r>
          </w:p>
        </w:tc>
        <w:tc>
          <w:tcPr>
            <w:tcW w:w="175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2104.9</w:t>
            </w:r>
          </w:p>
        </w:tc>
      </w:tr>
    </w:tbl>
    <w:p>
      <w:pPr>
        <w:jc w:val="left"/>
        <w:rPr>
          <w:rFonts w:ascii="黑体" w:eastAsia="黑体"/>
          <w:sz w:val="24"/>
        </w:rPr>
      </w:pPr>
    </w:p>
    <w:p>
      <w:pPr>
        <w:jc w:val="left"/>
        <w:rPr>
          <w:rFonts w:ascii="黑体" w:eastAsia="黑体"/>
          <w:sz w:val="24"/>
        </w:rPr>
      </w:pPr>
    </w:p>
    <w:p>
      <w:pPr>
        <w:jc w:val="left"/>
        <w:rPr>
          <w:rFonts w:ascii="黑体" w:eastAsia="黑体"/>
          <w:sz w:val="24"/>
        </w:rPr>
        <w:sectPr>
          <w:pgSz w:w="11906" w:h="16838"/>
          <w:pgMar w:top="1440" w:right="1800" w:bottom="1440" w:left="1800" w:header="851" w:footer="992" w:gutter="0"/>
          <w:cols w:space="720" w:num="1"/>
          <w:docGrid w:type="lines" w:linePitch="312" w:charSpace="0"/>
        </w:sectPr>
      </w:pPr>
    </w:p>
    <w:tbl>
      <w:tblPr>
        <w:tblStyle w:val="11"/>
        <w:tblW w:w="148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9"/>
        <w:gridCol w:w="4187"/>
        <w:gridCol w:w="437"/>
        <w:gridCol w:w="778"/>
        <w:gridCol w:w="431"/>
        <w:gridCol w:w="422"/>
        <w:gridCol w:w="469"/>
        <w:gridCol w:w="656"/>
        <w:gridCol w:w="683"/>
        <w:gridCol w:w="448"/>
        <w:gridCol w:w="270"/>
        <w:gridCol w:w="437"/>
        <w:gridCol w:w="285"/>
        <w:gridCol w:w="728"/>
        <w:gridCol w:w="725"/>
        <w:gridCol w:w="953"/>
        <w:gridCol w:w="710"/>
        <w:gridCol w:w="1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blHeader/>
        </w:trPr>
        <w:tc>
          <w:tcPr>
            <w:tcW w:w="1099"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4624"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209"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891"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1339"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718"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72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728"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725"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2794" w:type="dxa"/>
            <w:gridSpan w:val="3"/>
            <w:tcBorders>
              <w:top w:val="nil"/>
              <w:left w:val="nil"/>
              <w:bottom w:val="nil"/>
              <w:right w:val="nil"/>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blHeader/>
        </w:trPr>
        <w:tc>
          <w:tcPr>
            <w:tcW w:w="14849" w:type="dxa"/>
            <w:gridSpan w:val="18"/>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blHeader/>
        </w:trPr>
        <w:tc>
          <w:tcPr>
            <w:tcW w:w="5286"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w:t>
            </w:r>
            <w:r>
              <w:rPr>
                <w:rFonts w:hint="eastAsia" w:ascii="仿宋_GB2312" w:hAnsi="宋体" w:eastAsia="仿宋_GB2312" w:cs="宋体"/>
                <w:color w:val="000000"/>
                <w:kern w:val="0"/>
                <w:sz w:val="22"/>
                <w:szCs w:val="22"/>
                <w:lang w:eastAsia="zh-CN"/>
              </w:rPr>
              <w:t>委宣传部</w:t>
            </w:r>
          </w:p>
        </w:tc>
        <w:tc>
          <w:tcPr>
            <w:tcW w:w="6769" w:type="dxa"/>
            <w:gridSpan w:val="13"/>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2018年度</w:t>
            </w:r>
          </w:p>
        </w:tc>
        <w:tc>
          <w:tcPr>
            <w:tcW w:w="953"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841" w:type="dxa"/>
            <w:gridSpan w:val="2"/>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blHeader/>
        </w:trPr>
        <w:tc>
          <w:tcPr>
            <w:tcW w:w="52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w:t>
            </w:r>
          </w:p>
        </w:tc>
        <w:tc>
          <w:tcPr>
            <w:tcW w:w="121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85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上年结转</w:t>
            </w:r>
          </w:p>
        </w:tc>
        <w:tc>
          <w:tcPr>
            <w:tcW w:w="1125"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一般公共预算拨款收入</w:t>
            </w:r>
          </w:p>
        </w:tc>
        <w:tc>
          <w:tcPr>
            <w:tcW w:w="113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政府性基金预算拨款收入</w:t>
            </w:r>
          </w:p>
        </w:tc>
        <w:tc>
          <w:tcPr>
            <w:tcW w:w="70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事业收入</w:t>
            </w:r>
          </w:p>
        </w:tc>
        <w:tc>
          <w:tcPr>
            <w:tcW w:w="1013"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事业单位经营收入</w:t>
            </w:r>
          </w:p>
        </w:tc>
        <w:tc>
          <w:tcPr>
            <w:tcW w:w="72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上级补助收入</w:t>
            </w:r>
          </w:p>
        </w:tc>
        <w:tc>
          <w:tcPr>
            <w:tcW w:w="95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下级单位上缴收入</w:t>
            </w:r>
          </w:p>
        </w:tc>
        <w:tc>
          <w:tcPr>
            <w:tcW w:w="7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其他收入</w:t>
            </w:r>
          </w:p>
        </w:tc>
        <w:tc>
          <w:tcPr>
            <w:tcW w:w="113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tblHeader/>
        </w:trPr>
        <w:tc>
          <w:tcPr>
            <w:tcW w:w="1099"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科目编码</w:t>
            </w:r>
          </w:p>
        </w:tc>
        <w:tc>
          <w:tcPr>
            <w:tcW w:w="418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21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12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13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0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9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1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w:t>
            </w:r>
            <w:r>
              <w:rPr>
                <w:rFonts w:hint="eastAsia" w:ascii="宋体" w:hAnsi="宋体" w:cs="宋体"/>
                <w:color w:val="000000"/>
                <w:kern w:val="0"/>
                <w:sz w:val="22"/>
                <w:szCs w:val="22"/>
                <w:lang w:val="en-US" w:eastAsia="zh-CN"/>
              </w:rPr>
              <w:t>1</w:t>
            </w:r>
          </w:p>
        </w:tc>
        <w:tc>
          <w:tcPr>
            <w:tcW w:w="41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一般公共服务支出</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1617.7</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1617.7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w:t>
            </w:r>
            <w:r>
              <w:rPr>
                <w:rFonts w:hint="eastAsia" w:ascii="宋体" w:hAnsi="宋体" w:cs="宋体"/>
                <w:color w:val="000000"/>
                <w:kern w:val="0"/>
                <w:sz w:val="22"/>
                <w:szCs w:val="22"/>
                <w:lang w:val="en-US" w:eastAsia="zh-CN"/>
              </w:rPr>
              <w:t>133</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宣传事务</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1617.7</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1617.7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w:t>
            </w:r>
            <w:r>
              <w:rPr>
                <w:rFonts w:hint="eastAsia" w:ascii="宋体" w:hAnsi="宋体" w:cs="宋体"/>
                <w:color w:val="000000"/>
                <w:kern w:val="0"/>
                <w:sz w:val="22"/>
                <w:szCs w:val="22"/>
                <w:lang w:val="en-US" w:eastAsia="zh-CN"/>
              </w:rPr>
              <w:t>13301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行政运行</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1229.7</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1229.7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w:t>
            </w:r>
            <w:r>
              <w:rPr>
                <w:rFonts w:hint="eastAsia" w:ascii="宋体" w:hAnsi="宋体" w:cs="宋体"/>
                <w:color w:val="000000"/>
                <w:kern w:val="0"/>
                <w:sz w:val="22"/>
                <w:szCs w:val="22"/>
                <w:lang w:val="en-US" w:eastAsia="zh-CN"/>
              </w:rPr>
              <w:t>13399</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其他宣传事务支出</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w:t>
            </w:r>
            <w:r>
              <w:rPr>
                <w:rFonts w:hint="eastAsia" w:ascii="宋体" w:hAnsi="宋体" w:cs="宋体"/>
                <w:color w:val="000000"/>
                <w:kern w:val="0"/>
                <w:sz w:val="22"/>
                <w:szCs w:val="22"/>
                <w:lang w:val="en-US" w:eastAsia="zh-CN"/>
              </w:rPr>
              <w:t>8</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社会保障和就业支出</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207.3</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207.3</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r>
              <w:rPr>
                <w:rFonts w:hint="eastAsia" w:ascii="宋体" w:hAnsi="宋体" w:cs="宋体"/>
                <w:color w:val="000000"/>
                <w:kern w:val="0"/>
                <w:sz w:val="22"/>
                <w:szCs w:val="22"/>
                <w:lang w:val="en-US" w:eastAsia="zh-CN"/>
              </w:rPr>
              <w:t>05</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行政事业单位离退休</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192.6</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192.6</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w:t>
            </w:r>
            <w:r>
              <w:rPr>
                <w:rFonts w:hint="eastAsia" w:ascii="宋体" w:hAnsi="宋体" w:cs="宋体"/>
                <w:color w:val="000000"/>
                <w:kern w:val="0"/>
                <w:sz w:val="22"/>
                <w:szCs w:val="22"/>
                <w:lang w:val="en-US" w:eastAsia="zh-CN"/>
              </w:rPr>
              <w:t>505</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机关事业单位基本养老保险缴费支出</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192.6</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192.6</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w:t>
            </w:r>
          </w:p>
        </w:tc>
        <w:tc>
          <w:tcPr>
            <w:tcW w:w="41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就业补助</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080705</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公益性岗位补贴</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0808</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抚恤</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080801</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死亡抚恤</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41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医院卫生与计划生育支出</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1011</w:t>
            </w:r>
          </w:p>
        </w:tc>
        <w:tc>
          <w:tcPr>
            <w:tcW w:w="41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行政事业单位医疗</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101101</w:t>
            </w:r>
          </w:p>
        </w:tc>
        <w:tc>
          <w:tcPr>
            <w:tcW w:w="41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行政单位医疗</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77.0</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77.0</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1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公务员医疗补助</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w:t>
            </w:r>
          </w:p>
        </w:tc>
        <w:tc>
          <w:tcPr>
            <w:tcW w:w="85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41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住房保障支出</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853" w:type="dxa"/>
            <w:gridSpan w:val="2"/>
            <w:tcBorders>
              <w:top w:val="nil"/>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22"/>
                <w:szCs w:val="22"/>
                <w:lang w:val="en-US" w:eastAsia="zh-CN"/>
              </w:rPr>
            </w:pP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0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2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7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13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418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853"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1131"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70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1013"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72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95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7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113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418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住房公积金</w:t>
            </w:r>
          </w:p>
        </w:tc>
        <w:tc>
          <w:tcPr>
            <w:tcW w:w="121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853"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1125"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1131"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70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1013"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72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95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7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c>
          <w:tcPr>
            <w:tcW w:w="113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4" w:hRule="atLeast"/>
        </w:trPr>
        <w:tc>
          <w:tcPr>
            <w:tcW w:w="14849" w:type="dxa"/>
            <w:gridSpan w:val="1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注：1.如此表无数据，则以空表形式公开，请不要删除此表；</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2.如此表为空表，请说明原因。</w:t>
            </w:r>
          </w:p>
        </w:tc>
      </w:tr>
    </w:tbl>
    <w:p>
      <w:pPr>
        <w:jc w:val="left"/>
        <w:rPr>
          <w:rFonts w:ascii="黑体" w:eastAsia="黑体"/>
          <w:sz w:val="24"/>
        </w:rPr>
      </w:pPr>
    </w:p>
    <w:p>
      <w:pPr>
        <w:jc w:val="left"/>
        <w:rPr>
          <w:rFonts w:ascii="黑体" w:eastAsia="黑体"/>
          <w:sz w:val="24"/>
        </w:rPr>
      </w:pPr>
    </w:p>
    <w:p>
      <w:pPr>
        <w:jc w:val="left"/>
        <w:rPr>
          <w:rFonts w:ascii="黑体" w:eastAsia="黑体"/>
          <w:sz w:val="24"/>
        </w:rPr>
        <w:sectPr>
          <w:pgSz w:w="16838" w:h="11906" w:orient="landscape"/>
          <w:pgMar w:top="1797" w:right="1440" w:bottom="663" w:left="1440" w:header="851" w:footer="992" w:gutter="0"/>
          <w:cols w:space="720" w:num="1"/>
          <w:docGrid w:type="lines" w:linePitch="312" w:charSpace="0"/>
        </w:sectPr>
      </w:pPr>
    </w:p>
    <w:tbl>
      <w:tblPr>
        <w:tblStyle w:val="11"/>
        <w:tblW w:w="9653"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6"/>
        <w:gridCol w:w="3736"/>
        <w:gridCol w:w="986"/>
        <w:gridCol w:w="991"/>
        <w:gridCol w:w="475"/>
        <w:gridCol w:w="498"/>
        <w:gridCol w:w="170"/>
        <w:gridCol w:w="793"/>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096"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3736"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986"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991"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475" w:type="dxa"/>
            <w:tcBorders>
              <w:top w:val="nil"/>
              <w:left w:val="nil"/>
              <w:bottom w:val="nil"/>
              <w:right w:val="nil"/>
            </w:tcBorders>
            <w:vAlign w:val="center"/>
          </w:tcPr>
          <w:p>
            <w:pPr>
              <w:widowControl/>
              <w:jc w:val="center"/>
              <w:rPr>
                <w:rFonts w:ascii="仿宋_GB2312" w:hAnsi="宋体" w:eastAsia="仿宋_GB2312" w:cs="宋体"/>
                <w:color w:val="000000"/>
                <w:kern w:val="0"/>
                <w:sz w:val="22"/>
                <w:szCs w:val="22"/>
              </w:rPr>
            </w:pPr>
          </w:p>
        </w:tc>
        <w:tc>
          <w:tcPr>
            <w:tcW w:w="498" w:type="dxa"/>
            <w:tcBorders>
              <w:top w:val="nil"/>
              <w:left w:val="nil"/>
              <w:bottom w:val="nil"/>
              <w:right w:val="nil"/>
            </w:tcBorders>
            <w:vAlign w:val="center"/>
          </w:tcPr>
          <w:p>
            <w:pPr>
              <w:widowControl/>
              <w:jc w:val="left"/>
              <w:rPr>
                <w:rFonts w:ascii="仿宋_GB2312" w:hAnsi="宋体" w:eastAsia="仿宋_GB2312" w:cs="宋体"/>
                <w:color w:val="000000"/>
                <w:kern w:val="0"/>
                <w:sz w:val="22"/>
                <w:szCs w:val="22"/>
              </w:rPr>
            </w:pPr>
          </w:p>
        </w:tc>
        <w:tc>
          <w:tcPr>
            <w:tcW w:w="1871" w:type="dxa"/>
            <w:gridSpan w:val="3"/>
            <w:tcBorders>
              <w:top w:val="nil"/>
              <w:left w:val="nil"/>
              <w:bottom w:val="nil"/>
              <w:right w:val="nil"/>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部门公开08表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9653" w:type="dxa"/>
            <w:gridSpan w:val="9"/>
            <w:tcBorders>
              <w:top w:val="nil"/>
              <w:left w:val="nil"/>
              <w:bottom w:val="nil"/>
              <w:right w:val="nil"/>
            </w:tcBorders>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4832" w:type="dxa"/>
            <w:gridSpan w:val="2"/>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部门：那曲市</w:t>
            </w:r>
            <w:r>
              <w:rPr>
                <w:rFonts w:hint="eastAsia" w:ascii="仿宋_GB2312" w:hAnsi="宋体" w:eastAsia="仿宋_GB2312" w:cs="宋体"/>
                <w:color w:val="000000"/>
                <w:kern w:val="0"/>
                <w:sz w:val="22"/>
                <w:szCs w:val="22"/>
                <w:lang w:eastAsia="zh-CN"/>
              </w:rPr>
              <w:t>委宣传部</w:t>
            </w:r>
          </w:p>
        </w:tc>
        <w:tc>
          <w:tcPr>
            <w:tcW w:w="3120" w:type="dxa"/>
            <w:gridSpan w:val="5"/>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2018年度</w:t>
            </w:r>
          </w:p>
        </w:tc>
        <w:tc>
          <w:tcPr>
            <w:tcW w:w="1701" w:type="dxa"/>
            <w:gridSpan w:val="2"/>
            <w:tcBorders>
              <w:top w:val="nil"/>
              <w:left w:val="nil"/>
              <w:bottom w:val="single" w:color="auto" w:sz="4" w:space="0"/>
              <w:right w:val="nil"/>
            </w:tcBorders>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48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w:t>
            </w:r>
          </w:p>
        </w:tc>
        <w:tc>
          <w:tcPr>
            <w:tcW w:w="98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合计 </w:t>
            </w:r>
          </w:p>
        </w:tc>
        <w:tc>
          <w:tcPr>
            <w:tcW w:w="9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基本</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支出</w:t>
            </w:r>
          </w:p>
        </w:tc>
        <w:tc>
          <w:tcPr>
            <w:tcW w:w="47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项目支出 </w:t>
            </w:r>
          </w:p>
        </w:tc>
        <w:tc>
          <w:tcPr>
            <w:tcW w:w="668"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上缴上级支出 </w:t>
            </w:r>
          </w:p>
        </w:tc>
        <w:tc>
          <w:tcPr>
            <w:tcW w:w="7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事业单位经营支出 </w:t>
            </w:r>
          </w:p>
        </w:tc>
        <w:tc>
          <w:tcPr>
            <w:tcW w:w="90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对下级单位补助支出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科目编码</w:t>
            </w:r>
          </w:p>
        </w:tc>
        <w:tc>
          <w:tcPr>
            <w:tcW w:w="373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科目名称 </w:t>
            </w:r>
          </w:p>
        </w:tc>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9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7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6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9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w:t>
            </w:r>
            <w:r>
              <w:rPr>
                <w:rFonts w:hint="eastAsia" w:ascii="仿宋_GB2312" w:hAnsi="宋体" w:eastAsia="仿宋_GB2312" w:cs="宋体"/>
                <w:color w:val="000000"/>
                <w:kern w:val="0"/>
                <w:sz w:val="22"/>
                <w:szCs w:val="22"/>
                <w:lang w:val="en-US" w:eastAsia="zh-CN"/>
              </w:rPr>
              <w:t>1</w:t>
            </w:r>
          </w:p>
        </w:tc>
        <w:tc>
          <w:tcPr>
            <w:tcW w:w="37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一般公共服务支出</w:t>
            </w:r>
          </w:p>
        </w:tc>
        <w:tc>
          <w:tcPr>
            <w:tcW w:w="986" w:type="dxa"/>
            <w:tcBorders>
              <w:top w:val="nil"/>
              <w:left w:val="nil"/>
              <w:bottom w:val="single" w:color="auto" w:sz="4" w:space="0"/>
              <w:right w:val="single" w:color="auto" w:sz="4" w:space="0"/>
            </w:tcBorders>
            <w:vAlign w:val="center"/>
          </w:tcPr>
          <w:p>
            <w:pPr>
              <w:widowControl/>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1617.7</w:t>
            </w:r>
          </w:p>
        </w:tc>
        <w:tc>
          <w:tcPr>
            <w:tcW w:w="9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1617.7</w:t>
            </w:r>
          </w:p>
        </w:tc>
        <w:tc>
          <w:tcPr>
            <w:tcW w:w="4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0133</w:t>
            </w:r>
          </w:p>
        </w:tc>
        <w:tc>
          <w:tcPr>
            <w:tcW w:w="373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宣传事务</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1617.7</w:t>
            </w:r>
          </w:p>
        </w:tc>
        <w:tc>
          <w:tcPr>
            <w:tcW w:w="99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1617.7</w:t>
            </w:r>
          </w:p>
        </w:tc>
        <w:tc>
          <w:tcPr>
            <w:tcW w:w="4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013301</w:t>
            </w:r>
          </w:p>
        </w:tc>
        <w:tc>
          <w:tcPr>
            <w:tcW w:w="373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行政运行</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1229.7</w:t>
            </w:r>
          </w:p>
        </w:tc>
        <w:tc>
          <w:tcPr>
            <w:tcW w:w="99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1229.7</w:t>
            </w:r>
          </w:p>
        </w:tc>
        <w:tc>
          <w:tcPr>
            <w:tcW w:w="4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013399</w:t>
            </w:r>
          </w:p>
        </w:tc>
        <w:tc>
          <w:tcPr>
            <w:tcW w:w="373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其他宣传事务支出</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388.0</w:t>
            </w:r>
          </w:p>
        </w:tc>
        <w:tc>
          <w:tcPr>
            <w:tcW w:w="99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w:t>
            </w:r>
          </w:p>
        </w:tc>
        <w:tc>
          <w:tcPr>
            <w:tcW w:w="4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w:t>
            </w:r>
          </w:p>
        </w:tc>
        <w:tc>
          <w:tcPr>
            <w:tcW w:w="3736" w:type="dxa"/>
            <w:tcBorders>
              <w:top w:val="nil"/>
              <w:left w:val="nil"/>
              <w:bottom w:val="single" w:color="auto" w:sz="4" w:space="0"/>
              <w:right w:val="single" w:color="auto" w:sz="4" w:space="0"/>
            </w:tcBorders>
            <w:shd w:val="clear" w:color="auto" w:fill="FFFFFF"/>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社会保障支出</w:t>
            </w:r>
          </w:p>
        </w:tc>
        <w:tc>
          <w:tcPr>
            <w:tcW w:w="986"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282.4</w:t>
            </w:r>
          </w:p>
        </w:tc>
        <w:tc>
          <w:tcPr>
            <w:tcW w:w="991"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282.4</w:t>
            </w:r>
          </w:p>
        </w:tc>
        <w:tc>
          <w:tcPr>
            <w:tcW w:w="475"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w:t>
            </w:r>
            <w:r>
              <w:rPr>
                <w:rFonts w:hint="eastAsia" w:ascii="仿宋_GB2312" w:hAnsi="宋体" w:eastAsia="仿宋_GB2312" w:cs="宋体"/>
                <w:color w:val="000000"/>
                <w:kern w:val="0"/>
                <w:sz w:val="22"/>
                <w:szCs w:val="22"/>
                <w:lang w:val="en-US" w:eastAsia="zh-CN"/>
              </w:rPr>
              <w:t>05</w:t>
            </w:r>
          </w:p>
        </w:tc>
        <w:tc>
          <w:tcPr>
            <w:tcW w:w="37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行政事业单位离退休</w:t>
            </w:r>
          </w:p>
        </w:tc>
        <w:tc>
          <w:tcPr>
            <w:tcW w:w="986" w:type="dxa"/>
            <w:tcBorders>
              <w:top w:val="nil"/>
              <w:left w:val="nil"/>
              <w:bottom w:val="single" w:color="auto" w:sz="4" w:space="0"/>
              <w:right w:val="single" w:color="auto" w:sz="4" w:space="0"/>
            </w:tcBorders>
            <w:shd w:val="clear" w:color="auto" w:fill="FFFFFF"/>
            <w:vAlign w:val="center"/>
          </w:tcPr>
          <w:p>
            <w:pPr>
              <w:widowControl/>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282.4</w:t>
            </w:r>
          </w:p>
        </w:tc>
        <w:tc>
          <w:tcPr>
            <w:tcW w:w="991"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282.4</w:t>
            </w:r>
          </w:p>
        </w:tc>
        <w:tc>
          <w:tcPr>
            <w:tcW w:w="475"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2080</w:t>
            </w:r>
            <w:r>
              <w:rPr>
                <w:rFonts w:hint="eastAsia" w:ascii="仿宋_GB2312" w:hAnsi="宋体" w:eastAsia="仿宋_GB2312" w:cs="宋体"/>
                <w:color w:val="000000"/>
                <w:kern w:val="0"/>
                <w:sz w:val="22"/>
                <w:szCs w:val="22"/>
                <w:lang w:val="en-US" w:eastAsia="zh-CN"/>
              </w:rPr>
              <w:t>505</w:t>
            </w:r>
          </w:p>
        </w:tc>
        <w:tc>
          <w:tcPr>
            <w:tcW w:w="37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机关事业单位基本养老保险缴费支出</w:t>
            </w:r>
          </w:p>
        </w:tc>
        <w:tc>
          <w:tcPr>
            <w:tcW w:w="986"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192.6</w:t>
            </w:r>
          </w:p>
        </w:tc>
        <w:tc>
          <w:tcPr>
            <w:tcW w:w="991"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192.6</w:t>
            </w:r>
          </w:p>
        </w:tc>
        <w:tc>
          <w:tcPr>
            <w:tcW w:w="475"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080506</w:t>
            </w:r>
          </w:p>
        </w:tc>
        <w:tc>
          <w:tcPr>
            <w:tcW w:w="3736" w:type="dxa"/>
            <w:tcBorders>
              <w:top w:val="nil"/>
              <w:left w:val="nil"/>
              <w:bottom w:val="single" w:color="auto" w:sz="4" w:space="0"/>
              <w:right w:val="single" w:color="auto" w:sz="4" w:space="0"/>
            </w:tcBorders>
            <w:shd w:val="clear" w:color="auto" w:fill="FFFFFF"/>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机关事业单位职业年金缴费支出</w:t>
            </w:r>
          </w:p>
        </w:tc>
        <w:tc>
          <w:tcPr>
            <w:tcW w:w="986"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75.1</w:t>
            </w:r>
          </w:p>
        </w:tc>
        <w:tc>
          <w:tcPr>
            <w:tcW w:w="991"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75.1</w:t>
            </w:r>
          </w:p>
        </w:tc>
        <w:tc>
          <w:tcPr>
            <w:tcW w:w="475"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0807</w:t>
            </w:r>
          </w:p>
        </w:tc>
        <w:tc>
          <w:tcPr>
            <w:tcW w:w="37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就业补助</w:t>
            </w:r>
          </w:p>
        </w:tc>
        <w:tc>
          <w:tcPr>
            <w:tcW w:w="986" w:type="dxa"/>
            <w:tcBorders>
              <w:top w:val="nil"/>
              <w:left w:val="nil"/>
              <w:bottom w:val="single" w:color="auto" w:sz="4" w:space="0"/>
              <w:right w:val="single" w:color="auto" w:sz="4" w:space="0"/>
            </w:tcBorders>
            <w:shd w:val="clear" w:color="auto" w:fill="FFFFFF"/>
            <w:vAlign w:val="center"/>
          </w:tcPr>
          <w:p>
            <w:pPr>
              <w:widowControl/>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2.4</w:t>
            </w:r>
          </w:p>
        </w:tc>
        <w:tc>
          <w:tcPr>
            <w:tcW w:w="991" w:type="dxa"/>
            <w:tcBorders>
              <w:top w:val="nil"/>
              <w:left w:val="nil"/>
              <w:bottom w:val="single" w:color="auto" w:sz="4" w:space="0"/>
              <w:right w:val="single" w:color="auto" w:sz="4" w:space="0"/>
            </w:tcBorders>
            <w:shd w:val="clear" w:color="auto" w:fill="FFFFFF"/>
            <w:vAlign w:val="center"/>
          </w:tcPr>
          <w:p>
            <w:pPr>
              <w:widowControl/>
              <w:jc w:val="both"/>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475"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080705</w:t>
            </w:r>
          </w:p>
        </w:tc>
        <w:tc>
          <w:tcPr>
            <w:tcW w:w="37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公益性岗位补助</w:t>
            </w:r>
          </w:p>
        </w:tc>
        <w:tc>
          <w:tcPr>
            <w:tcW w:w="986" w:type="dxa"/>
            <w:tcBorders>
              <w:top w:val="nil"/>
              <w:left w:val="nil"/>
              <w:bottom w:val="single" w:color="auto" w:sz="4" w:space="0"/>
              <w:right w:val="single" w:color="auto" w:sz="4" w:space="0"/>
            </w:tcBorders>
            <w:shd w:val="clear" w:color="auto" w:fill="FFFFFF"/>
            <w:vAlign w:val="center"/>
          </w:tcPr>
          <w:p>
            <w:pPr>
              <w:widowControl/>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2.4</w:t>
            </w:r>
          </w:p>
        </w:tc>
        <w:tc>
          <w:tcPr>
            <w:tcW w:w="991"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475"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0808</w:t>
            </w:r>
          </w:p>
        </w:tc>
        <w:tc>
          <w:tcPr>
            <w:tcW w:w="37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社会保障和就业支出</w:t>
            </w:r>
          </w:p>
        </w:tc>
        <w:tc>
          <w:tcPr>
            <w:tcW w:w="986" w:type="dxa"/>
            <w:tcBorders>
              <w:top w:val="nil"/>
              <w:left w:val="nil"/>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12.3</w:t>
            </w:r>
          </w:p>
        </w:tc>
        <w:tc>
          <w:tcPr>
            <w:tcW w:w="991"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w:t>
            </w:r>
          </w:p>
        </w:tc>
        <w:tc>
          <w:tcPr>
            <w:tcW w:w="475"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080801</w:t>
            </w:r>
          </w:p>
        </w:tc>
        <w:tc>
          <w:tcPr>
            <w:tcW w:w="37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死亡抚恤</w:t>
            </w:r>
          </w:p>
        </w:tc>
        <w:tc>
          <w:tcPr>
            <w:tcW w:w="986" w:type="dxa"/>
            <w:tcBorders>
              <w:top w:val="nil"/>
              <w:left w:val="nil"/>
              <w:bottom w:val="single" w:color="auto" w:sz="4" w:space="0"/>
              <w:right w:val="single" w:color="auto" w:sz="4" w:space="0"/>
            </w:tcBorders>
            <w:shd w:val="clear" w:color="auto" w:fill="FFFFFF"/>
            <w:vAlign w:val="center"/>
          </w:tcPr>
          <w:p>
            <w:pPr>
              <w:widowControl/>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12.3</w:t>
            </w:r>
          </w:p>
        </w:tc>
        <w:tc>
          <w:tcPr>
            <w:tcW w:w="991"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w:t>
            </w:r>
          </w:p>
        </w:tc>
        <w:tc>
          <w:tcPr>
            <w:tcW w:w="475"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w:t>
            </w:r>
          </w:p>
        </w:tc>
        <w:tc>
          <w:tcPr>
            <w:tcW w:w="373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医疗卫生与计划生育支出</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95.1</w:t>
            </w:r>
          </w:p>
        </w:tc>
        <w:tc>
          <w:tcPr>
            <w:tcW w:w="9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w:t>
            </w:r>
          </w:p>
        </w:tc>
        <w:tc>
          <w:tcPr>
            <w:tcW w:w="4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1011</w:t>
            </w:r>
          </w:p>
        </w:tc>
        <w:tc>
          <w:tcPr>
            <w:tcW w:w="37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行政事业单位医疗</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95.1</w:t>
            </w:r>
          </w:p>
        </w:tc>
        <w:tc>
          <w:tcPr>
            <w:tcW w:w="991"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w:t>
            </w:r>
          </w:p>
        </w:tc>
        <w:tc>
          <w:tcPr>
            <w:tcW w:w="4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both"/>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val="en-US" w:eastAsia="zh-CN"/>
              </w:rPr>
              <w:t>101101</w:t>
            </w:r>
          </w:p>
        </w:tc>
        <w:tc>
          <w:tcPr>
            <w:tcW w:w="37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val="en-US" w:eastAsia="zh-CN"/>
              </w:rPr>
              <w:t xml:space="preserve"> 行政单位医疗</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77.0</w:t>
            </w:r>
          </w:p>
        </w:tc>
        <w:tc>
          <w:tcPr>
            <w:tcW w:w="9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77.0</w:t>
            </w:r>
          </w:p>
        </w:tc>
        <w:tc>
          <w:tcPr>
            <w:tcW w:w="4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2101103</w:t>
            </w:r>
          </w:p>
        </w:tc>
        <w:tc>
          <w:tcPr>
            <w:tcW w:w="373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公务员医疗补助</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18.1</w:t>
            </w:r>
          </w:p>
        </w:tc>
        <w:tc>
          <w:tcPr>
            <w:tcW w:w="99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w:t>
            </w:r>
          </w:p>
        </w:tc>
        <w:tc>
          <w:tcPr>
            <w:tcW w:w="4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668"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79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90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221</w:t>
            </w:r>
          </w:p>
        </w:tc>
        <w:tc>
          <w:tcPr>
            <w:tcW w:w="373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住房保障支出</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109.7</w:t>
            </w:r>
          </w:p>
        </w:tc>
        <w:tc>
          <w:tcPr>
            <w:tcW w:w="99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4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668"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79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90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22102</w:t>
            </w:r>
          </w:p>
        </w:tc>
        <w:tc>
          <w:tcPr>
            <w:tcW w:w="373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  住房改革支出</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109.7</w:t>
            </w:r>
          </w:p>
        </w:tc>
        <w:tc>
          <w:tcPr>
            <w:tcW w:w="99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4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668"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79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90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2210201</w:t>
            </w:r>
          </w:p>
        </w:tc>
        <w:tc>
          <w:tcPr>
            <w:tcW w:w="3736"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109.7</w:t>
            </w:r>
          </w:p>
        </w:tc>
        <w:tc>
          <w:tcPr>
            <w:tcW w:w="991"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109.7</w:t>
            </w:r>
          </w:p>
        </w:tc>
        <w:tc>
          <w:tcPr>
            <w:tcW w:w="4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lang w:val="en-US" w:eastAsia="zh-CN"/>
              </w:rPr>
            </w:pPr>
          </w:p>
        </w:tc>
        <w:tc>
          <w:tcPr>
            <w:tcW w:w="668"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79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c>
          <w:tcPr>
            <w:tcW w:w="90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0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373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合计</w:t>
            </w:r>
          </w:p>
        </w:tc>
        <w:tc>
          <w:tcPr>
            <w:tcW w:w="986" w:type="dxa"/>
            <w:tcBorders>
              <w:top w:val="nil"/>
              <w:left w:val="nil"/>
              <w:bottom w:val="single" w:color="auto" w:sz="4" w:space="0"/>
              <w:right w:val="single" w:color="auto" w:sz="4" w:space="0"/>
            </w:tcBorders>
            <w:vAlign w:val="center"/>
          </w:tcPr>
          <w:p>
            <w:pPr>
              <w:widowControl/>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2104.9</w:t>
            </w:r>
          </w:p>
        </w:tc>
        <w:tc>
          <w:tcPr>
            <w:tcW w:w="991" w:type="dxa"/>
            <w:tcBorders>
              <w:top w:val="nil"/>
              <w:left w:val="nil"/>
              <w:bottom w:val="single" w:color="auto" w:sz="4" w:space="0"/>
              <w:right w:val="single" w:color="auto" w:sz="4" w:space="0"/>
            </w:tcBorders>
            <w:vAlign w:val="center"/>
          </w:tcPr>
          <w:p>
            <w:pPr>
              <w:widowControl/>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2104.9</w:t>
            </w:r>
          </w:p>
        </w:tc>
        <w:tc>
          <w:tcPr>
            <w:tcW w:w="4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6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9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bl>
    <w:p>
      <w:pPr>
        <w:jc w:val="left"/>
        <w:rPr>
          <w:rFonts w:ascii="黑体" w:eastAsia="黑体"/>
          <w:sz w:val="24"/>
        </w:rPr>
      </w:pPr>
    </w:p>
    <w:p>
      <w:pPr>
        <w:jc w:val="left"/>
        <w:rPr>
          <w:rFonts w:ascii="黑体" w:eastAsia="黑体"/>
          <w:sz w:val="24"/>
        </w:rPr>
      </w:pPr>
    </w:p>
    <w:p>
      <w:pPr>
        <w:jc w:val="left"/>
        <w:rPr>
          <w:rFonts w:ascii="黑体" w:eastAsia="黑体"/>
          <w:sz w:val="24"/>
        </w:rPr>
        <w:sectPr>
          <w:pgSz w:w="11906" w:h="16838"/>
          <w:pgMar w:top="1440" w:right="1797" w:bottom="1440" w:left="663" w:header="851" w:footer="992" w:gutter="0"/>
          <w:cols w:space="720" w:num="1"/>
          <w:docGrid w:type="lines" w:linePitch="312" w:charSpace="0"/>
        </w:sectPr>
      </w:pPr>
    </w:p>
    <w:p>
      <w:pPr>
        <w:jc w:val="left"/>
        <w:rPr>
          <w:rFonts w:ascii="黑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48"/>
          <w:szCs w:val="48"/>
        </w:rPr>
      </w:pPr>
    </w:p>
    <w:p>
      <w:pPr>
        <w:jc w:val="left"/>
        <w:rPr>
          <w:rFonts w:ascii="黑体" w:hAnsi="宋体" w:eastAsia="黑体"/>
          <w:sz w:val="48"/>
          <w:szCs w:val="48"/>
        </w:rPr>
      </w:pPr>
    </w:p>
    <w:p>
      <w:pPr>
        <w:jc w:val="left"/>
        <w:rPr>
          <w:rFonts w:ascii="黑体" w:hAnsi="宋体" w:eastAsia="黑体"/>
          <w:sz w:val="48"/>
          <w:szCs w:val="48"/>
        </w:rPr>
      </w:pPr>
    </w:p>
    <w:p>
      <w:pPr>
        <w:jc w:val="center"/>
        <w:rPr>
          <w:rFonts w:ascii="黑体" w:hAnsi="宋体" w:eastAsia="黑体"/>
          <w:sz w:val="48"/>
          <w:szCs w:val="48"/>
        </w:rPr>
      </w:pPr>
      <w:r>
        <w:rPr>
          <w:rFonts w:hint="eastAsia" w:ascii="黑体" w:hAnsi="宋体" w:eastAsia="黑体"/>
          <w:sz w:val="48"/>
          <w:szCs w:val="48"/>
        </w:rPr>
        <w:t>第三部分</w:t>
      </w:r>
    </w:p>
    <w:p>
      <w:pPr>
        <w:jc w:val="center"/>
        <w:rPr>
          <w:rFonts w:ascii="黑体" w:hAnsi="宋体" w:eastAsia="黑体"/>
          <w:sz w:val="48"/>
          <w:szCs w:val="48"/>
        </w:rPr>
      </w:pPr>
    </w:p>
    <w:p>
      <w:pPr>
        <w:jc w:val="center"/>
        <w:rPr>
          <w:rFonts w:ascii="黑体" w:hAnsi="宋体" w:eastAsia="黑体"/>
          <w:sz w:val="48"/>
          <w:szCs w:val="48"/>
        </w:rPr>
      </w:pPr>
      <w:r>
        <w:rPr>
          <w:rFonts w:hint="eastAsia" w:ascii="黑体" w:hAnsi="宋体" w:eastAsia="黑体"/>
          <w:sz w:val="48"/>
          <w:szCs w:val="48"/>
        </w:rPr>
        <w:t>那曲市</w:t>
      </w:r>
      <w:r>
        <w:rPr>
          <w:rFonts w:hint="eastAsia" w:ascii="黑体" w:hAnsi="宋体" w:eastAsia="黑体"/>
          <w:sz w:val="48"/>
          <w:szCs w:val="48"/>
          <w:lang w:eastAsia="zh-CN"/>
        </w:rPr>
        <w:t>委宣传部</w:t>
      </w:r>
      <w:r>
        <w:rPr>
          <w:rFonts w:hint="eastAsia" w:ascii="黑体" w:hAnsi="宋体" w:eastAsia="黑体"/>
          <w:sz w:val="48"/>
          <w:szCs w:val="48"/>
        </w:rPr>
        <w:t>2018年度</w:t>
      </w:r>
    </w:p>
    <w:p>
      <w:pPr>
        <w:jc w:val="center"/>
        <w:rPr>
          <w:rFonts w:ascii="黑体" w:hAnsi="宋体" w:eastAsia="黑体"/>
          <w:sz w:val="48"/>
          <w:szCs w:val="48"/>
        </w:rPr>
      </w:pPr>
      <w:r>
        <w:rPr>
          <w:rFonts w:hint="eastAsia" w:ascii="黑体" w:hAnsi="宋体" w:eastAsia="黑体"/>
          <w:sz w:val="48"/>
          <w:szCs w:val="48"/>
        </w:rPr>
        <w:t>预算情况说明</w:t>
      </w:r>
    </w:p>
    <w:p>
      <w:pPr>
        <w:jc w:val="left"/>
        <w:rPr>
          <w:rFonts w:ascii="黑体" w:hAnsi="宋体" w:eastAsia="黑体"/>
          <w:sz w:val="48"/>
          <w:szCs w:val="48"/>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jc w:val="left"/>
        <w:rPr>
          <w:rFonts w:ascii="黑体" w:hAnsi="宋体" w:eastAsia="黑体"/>
          <w:sz w:val="32"/>
          <w:szCs w:val="32"/>
        </w:rPr>
      </w:pPr>
      <w:r>
        <w:rPr>
          <w:rFonts w:ascii="黑体" w:hAnsi="宋体" w:eastAsia="黑体"/>
          <w:sz w:val="32"/>
          <w:szCs w:val="32"/>
        </w:rPr>
        <w:br w:type="page"/>
      </w:r>
    </w:p>
    <w:p>
      <w:pPr>
        <w:ind w:firstLine="627" w:firstLineChars="196"/>
        <w:jc w:val="left"/>
        <w:rPr>
          <w:rFonts w:ascii="黑体" w:hAnsi="宋体" w:eastAsia="黑体"/>
          <w:sz w:val="32"/>
          <w:szCs w:val="32"/>
        </w:rPr>
      </w:pPr>
      <w:r>
        <w:rPr>
          <w:rFonts w:hint="eastAsia" w:ascii="黑体" w:hAnsi="宋体" w:eastAsia="黑体"/>
          <w:sz w:val="32"/>
          <w:szCs w:val="32"/>
        </w:rPr>
        <w:t>一、关于那曲市</w:t>
      </w:r>
      <w:r>
        <w:rPr>
          <w:rFonts w:hint="eastAsia" w:ascii="黑体" w:hAnsi="宋体" w:eastAsia="黑体"/>
          <w:sz w:val="32"/>
          <w:szCs w:val="32"/>
          <w:lang w:eastAsia="zh-CN"/>
        </w:rPr>
        <w:t>委宣传部</w:t>
      </w:r>
      <w:r>
        <w:rPr>
          <w:rFonts w:hint="eastAsia" w:ascii="黑体" w:hAnsi="宋体" w:eastAsia="黑体"/>
          <w:sz w:val="32"/>
          <w:szCs w:val="32"/>
        </w:rPr>
        <w:t>2018年度财政拨款收支预算情况的总体说明</w:t>
      </w:r>
    </w:p>
    <w:p>
      <w:pPr>
        <w:ind w:firstLine="707" w:firstLineChars="221"/>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委宣传部</w:t>
      </w:r>
      <w:r>
        <w:rPr>
          <w:rFonts w:hint="eastAsia" w:ascii="仿宋" w:hAnsi="仿宋" w:eastAsia="仿宋"/>
          <w:sz w:val="32"/>
          <w:szCs w:val="32"/>
        </w:rPr>
        <w:t>2018年财政拨款收支总预算</w:t>
      </w:r>
      <w:r>
        <w:rPr>
          <w:rFonts w:hint="eastAsia" w:ascii="仿宋" w:hAnsi="仿宋" w:eastAsia="仿宋"/>
          <w:sz w:val="32"/>
          <w:szCs w:val="32"/>
          <w:lang w:val="en-US" w:eastAsia="zh-CN"/>
        </w:rPr>
        <w:t>2104.9</w:t>
      </w:r>
      <w:r>
        <w:rPr>
          <w:rFonts w:hint="eastAsia" w:ascii="仿宋" w:hAnsi="仿宋" w:eastAsia="仿宋"/>
          <w:sz w:val="32"/>
          <w:szCs w:val="32"/>
        </w:rPr>
        <w:t>万元。收入全部为一般公共预算拨款，无政府性基金预算拨款，包括：一般公共预算当年拨款收入</w:t>
      </w:r>
      <w:r>
        <w:rPr>
          <w:rFonts w:hint="eastAsia" w:ascii="仿宋" w:hAnsi="仿宋" w:eastAsia="仿宋"/>
          <w:sz w:val="32"/>
          <w:szCs w:val="32"/>
          <w:shd w:val="clear" w:color="auto" w:fill="FFFFFF"/>
          <w:lang w:val="en-US" w:eastAsia="zh-CN"/>
        </w:rPr>
        <w:t>2104.9</w:t>
      </w:r>
      <w:r>
        <w:rPr>
          <w:rFonts w:hint="eastAsia" w:ascii="仿宋" w:hAnsi="仿宋" w:eastAsia="仿宋"/>
          <w:sz w:val="32"/>
          <w:szCs w:val="32"/>
          <w:shd w:val="clear" w:color="auto" w:fill="FFFFFF"/>
        </w:rPr>
        <w:t>万元</w:t>
      </w:r>
      <w:r>
        <w:rPr>
          <w:rFonts w:hint="eastAsia" w:ascii="仿宋" w:hAnsi="仿宋" w:eastAsia="仿宋"/>
          <w:sz w:val="32"/>
          <w:szCs w:val="32"/>
        </w:rPr>
        <w:t>；支出包括：社会保障和就业支出</w:t>
      </w:r>
      <w:r>
        <w:rPr>
          <w:rFonts w:hint="eastAsia" w:ascii="仿宋" w:hAnsi="仿宋" w:eastAsia="仿宋"/>
          <w:sz w:val="32"/>
          <w:szCs w:val="32"/>
          <w:lang w:val="en-US" w:eastAsia="zh-CN"/>
        </w:rPr>
        <w:t>1900.1</w:t>
      </w:r>
      <w:r>
        <w:rPr>
          <w:rFonts w:hint="eastAsia" w:ascii="仿宋" w:hAnsi="仿宋" w:eastAsia="仿宋"/>
          <w:sz w:val="32"/>
          <w:szCs w:val="32"/>
        </w:rPr>
        <w:t>万元，医疗卫生与计划生育支出</w:t>
      </w:r>
      <w:r>
        <w:rPr>
          <w:rFonts w:hint="eastAsia" w:ascii="仿宋" w:hAnsi="仿宋" w:eastAsia="仿宋"/>
          <w:sz w:val="32"/>
          <w:szCs w:val="32"/>
          <w:lang w:val="en-US" w:eastAsia="zh-CN"/>
        </w:rPr>
        <w:t>95.87</w:t>
      </w:r>
      <w:r>
        <w:rPr>
          <w:rFonts w:hint="eastAsia" w:ascii="仿宋" w:hAnsi="仿宋" w:eastAsia="仿宋"/>
          <w:sz w:val="32"/>
          <w:szCs w:val="32"/>
        </w:rPr>
        <w:t>万元，住房保障支出</w:t>
      </w:r>
      <w:r>
        <w:rPr>
          <w:rFonts w:hint="eastAsia" w:ascii="仿宋" w:hAnsi="仿宋" w:eastAsia="仿宋"/>
          <w:sz w:val="32"/>
          <w:szCs w:val="32"/>
          <w:lang w:val="en-US" w:eastAsia="zh-CN"/>
        </w:rPr>
        <w:t>10.9</w:t>
      </w:r>
      <w:r>
        <w:rPr>
          <w:rFonts w:hint="eastAsia" w:ascii="仿宋" w:hAnsi="仿宋" w:eastAsia="仿宋"/>
          <w:sz w:val="32"/>
          <w:szCs w:val="32"/>
        </w:rPr>
        <w:t>万元。</w:t>
      </w:r>
    </w:p>
    <w:p>
      <w:pPr>
        <w:ind w:firstLine="707" w:firstLineChars="221"/>
        <w:jc w:val="left"/>
        <w:rPr>
          <w:rFonts w:ascii="黑体" w:hAnsi="宋体" w:eastAsia="黑体"/>
          <w:sz w:val="32"/>
          <w:szCs w:val="32"/>
        </w:rPr>
      </w:pPr>
    </w:p>
    <w:p>
      <w:pPr>
        <w:ind w:firstLine="627" w:firstLineChars="196"/>
        <w:jc w:val="left"/>
        <w:rPr>
          <w:rFonts w:ascii="黑体" w:hAnsi="宋体" w:eastAsia="黑体"/>
          <w:sz w:val="32"/>
          <w:szCs w:val="32"/>
        </w:rPr>
      </w:pPr>
      <w:r>
        <w:rPr>
          <w:rFonts w:hint="eastAsia" w:ascii="黑体" w:hAnsi="宋体" w:eastAsia="黑体"/>
          <w:sz w:val="32"/>
          <w:szCs w:val="32"/>
        </w:rPr>
        <w:t>二、关于那曲市</w:t>
      </w:r>
      <w:r>
        <w:rPr>
          <w:rFonts w:hint="eastAsia" w:ascii="黑体" w:hAnsi="宋体" w:eastAsia="黑体"/>
          <w:sz w:val="32"/>
          <w:szCs w:val="32"/>
          <w:lang w:eastAsia="zh-CN"/>
        </w:rPr>
        <w:t>委宣传部</w:t>
      </w:r>
      <w:r>
        <w:rPr>
          <w:rFonts w:hint="eastAsia" w:ascii="黑体" w:hAnsi="宋体" w:eastAsia="黑体"/>
          <w:sz w:val="32"/>
          <w:szCs w:val="32"/>
        </w:rPr>
        <w:t>2018年度一般公共预算当年拨款情况说明</w:t>
      </w:r>
    </w:p>
    <w:p>
      <w:pPr>
        <w:ind w:firstLine="627" w:firstLineChars="196"/>
        <w:jc w:val="left"/>
        <w:rPr>
          <w:rFonts w:ascii="楷体_GB2312" w:eastAsia="楷体_GB2312"/>
          <w:sz w:val="32"/>
          <w:szCs w:val="32"/>
        </w:rPr>
      </w:pPr>
      <w:r>
        <w:rPr>
          <w:rFonts w:hint="eastAsia" w:ascii="楷体_GB2312" w:eastAsia="楷体_GB2312"/>
          <w:sz w:val="32"/>
          <w:szCs w:val="32"/>
        </w:rPr>
        <w:t>（一）一般公共预算当年财政拨款规模变化情况</w:t>
      </w:r>
    </w:p>
    <w:p>
      <w:pPr>
        <w:ind w:firstLine="627" w:firstLineChars="196"/>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委宣传部</w:t>
      </w:r>
      <w:r>
        <w:rPr>
          <w:rFonts w:hint="eastAsia" w:ascii="仿宋" w:hAnsi="仿宋" w:eastAsia="仿宋"/>
          <w:sz w:val="32"/>
          <w:szCs w:val="32"/>
        </w:rPr>
        <w:t>2018年一般公共预算当年拨款</w:t>
      </w:r>
      <w:r>
        <w:rPr>
          <w:rFonts w:hint="eastAsia" w:ascii="仿宋" w:hAnsi="仿宋" w:eastAsia="仿宋"/>
          <w:sz w:val="32"/>
          <w:szCs w:val="32"/>
          <w:lang w:val="en-US" w:eastAsia="zh-CN"/>
        </w:rPr>
        <w:t>2104.9</w:t>
      </w:r>
      <w:r>
        <w:rPr>
          <w:rFonts w:hint="eastAsia" w:ascii="仿宋" w:hAnsi="仿宋" w:eastAsia="仿宋"/>
          <w:sz w:val="32"/>
          <w:szCs w:val="32"/>
        </w:rPr>
        <w:t>万元，比2017年的</w:t>
      </w:r>
      <w:r>
        <w:rPr>
          <w:rFonts w:hint="eastAsia" w:ascii="仿宋" w:hAnsi="仿宋" w:eastAsia="仿宋"/>
          <w:sz w:val="32"/>
          <w:szCs w:val="32"/>
          <w:lang w:val="en-US" w:eastAsia="zh-CN"/>
        </w:rPr>
        <w:t>1865.74</w:t>
      </w:r>
      <w:r>
        <w:rPr>
          <w:rFonts w:hint="eastAsia" w:ascii="仿宋" w:hAnsi="仿宋" w:eastAsia="仿宋"/>
          <w:sz w:val="32"/>
          <w:szCs w:val="32"/>
        </w:rPr>
        <w:t>万元，增加</w:t>
      </w:r>
      <w:r>
        <w:rPr>
          <w:rFonts w:hint="eastAsia" w:ascii="仿宋" w:hAnsi="仿宋" w:eastAsia="仿宋"/>
          <w:sz w:val="32"/>
          <w:szCs w:val="32"/>
          <w:lang w:val="en-US" w:eastAsia="zh-CN"/>
        </w:rPr>
        <w:t>239.16</w:t>
      </w:r>
      <w:r>
        <w:rPr>
          <w:rFonts w:hint="eastAsia" w:ascii="仿宋" w:hAnsi="仿宋" w:eastAsia="仿宋"/>
          <w:sz w:val="32"/>
          <w:szCs w:val="32"/>
        </w:rPr>
        <w:t>万元。主要原因一是因为在职人员增加，进而导致人员经费增加、公用经费按人头计算相应增加；二是2017年度工龄补贴增资部分进入2018年一般公共预算；三是较2017年度的只部分预算，2018年社保配套缴费支出和公积金缴费支出为全额预算</w:t>
      </w:r>
      <w:r>
        <w:rPr>
          <w:rFonts w:hint="eastAsia" w:ascii="仿宋" w:hAnsi="仿宋" w:eastAsia="仿宋"/>
          <w:sz w:val="32"/>
          <w:szCs w:val="32"/>
          <w:lang w:eastAsia="zh-CN"/>
        </w:rPr>
        <w:t>。</w:t>
      </w:r>
    </w:p>
    <w:p>
      <w:pPr>
        <w:ind w:firstLine="627" w:firstLineChars="196"/>
        <w:jc w:val="left"/>
        <w:rPr>
          <w:rFonts w:ascii="楷体_GB2312" w:eastAsia="楷体_GB2312"/>
          <w:sz w:val="32"/>
          <w:szCs w:val="32"/>
        </w:rPr>
      </w:pPr>
      <w:r>
        <w:rPr>
          <w:rFonts w:hint="eastAsia" w:ascii="楷体_GB2312" w:eastAsia="楷体_GB2312"/>
          <w:sz w:val="32"/>
          <w:szCs w:val="32"/>
        </w:rPr>
        <w:t>（二）一般公共预算当年财政拨款结构情况</w:t>
      </w:r>
    </w:p>
    <w:p>
      <w:pPr>
        <w:shd w:val="clear" w:color="auto" w:fill="FFFFFF"/>
        <w:ind w:firstLine="630" w:firstLineChars="196"/>
        <w:jc w:val="left"/>
        <w:rPr>
          <w:rFonts w:ascii="仿宋" w:hAnsi="仿宋" w:eastAsia="仿宋"/>
          <w:sz w:val="32"/>
          <w:szCs w:val="32"/>
        </w:rPr>
      </w:pPr>
      <w:r>
        <w:rPr>
          <w:rFonts w:hint="eastAsia" w:ascii="仿宋" w:hAnsi="仿宋" w:eastAsia="仿宋"/>
          <w:b/>
          <w:sz w:val="32"/>
          <w:szCs w:val="32"/>
        </w:rPr>
        <w:t>社会保障和就业（类，208）</w:t>
      </w:r>
      <w:r>
        <w:rPr>
          <w:rFonts w:hint="eastAsia" w:ascii="仿宋" w:hAnsi="仿宋" w:eastAsia="仿宋"/>
          <w:sz w:val="32"/>
          <w:szCs w:val="32"/>
        </w:rPr>
        <w:t>支出</w:t>
      </w:r>
      <w:r>
        <w:rPr>
          <w:rFonts w:hint="eastAsia" w:ascii="仿宋" w:hAnsi="仿宋" w:eastAsia="仿宋"/>
          <w:sz w:val="32"/>
          <w:szCs w:val="32"/>
          <w:lang w:val="en-US" w:eastAsia="zh-CN"/>
        </w:rPr>
        <w:t>282.4</w:t>
      </w:r>
      <w:r>
        <w:rPr>
          <w:rFonts w:hint="eastAsia" w:ascii="仿宋" w:hAnsi="仿宋" w:eastAsia="仿宋"/>
          <w:sz w:val="32"/>
          <w:szCs w:val="32"/>
        </w:rPr>
        <w:t>万元，</w:t>
      </w:r>
      <w:r>
        <w:rPr>
          <w:rFonts w:hint="eastAsia" w:ascii="仿宋" w:hAnsi="仿宋" w:eastAsia="仿宋"/>
          <w:b/>
          <w:sz w:val="32"/>
          <w:szCs w:val="32"/>
        </w:rPr>
        <w:t>医疗卫生与计划生育（类,210）</w:t>
      </w:r>
      <w:r>
        <w:rPr>
          <w:rFonts w:hint="eastAsia" w:ascii="仿宋" w:hAnsi="仿宋" w:eastAsia="仿宋"/>
          <w:sz w:val="32"/>
          <w:szCs w:val="32"/>
        </w:rPr>
        <w:t>支出</w:t>
      </w:r>
      <w:r>
        <w:rPr>
          <w:rFonts w:hint="eastAsia" w:ascii="仿宋" w:hAnsi="仿宋" w:eastAsia="仿宋"/>
          <w:sz w:val="32"/>
          <w:szCs w:val="32"/>
          <w:lang w:val="en-US" w:eastAsia="zh-CN"/>
        </w:rPr>
        <w:t>95.87</w:t>
      </w:r>
      <w:r>
        <w:rPr>
          <w:rFonts w:hint="eastAsia" w:ascii="仿宋" w:hAnsi="仿宋" w:eastAsia="仿宋"/>
          <w:sz w:val="32"/>
          <w:szCs w:val="32"/>
        </w:rPr>
        <w:t>万元，</w:t>
      </w:r>
      <w:r>
        <w:rPr>
          <w:rFonts w:hint="eastAsia" w:ascii="仿宋" w:hAnsi="仿宋" w:eastAsia="仿宋"/>
          <w:b/>
          <w:sz w:val="32"/>
          <w:szCs w:val="32"/>
        </w:rPr>
        <w:t>住房保障（类,221）</w:t>
      </w:r>
      <w:r>
        <w:rPr>
          <w:rFonts w:hint="eastAsia" w:ascii="仿宋" w:hAnsi="仿宋" w:eastAsia="仿宋"/>
          <w:sz w:val="32"/>
          <w:szCs w:val="32"/>
        </w:rPr>
        <w:t>支出</w:t>
      </w:r>
      <w:r>
        <w:rPr>
          <w:rFonts w:hint="eastAsia" w:ascii="仿宋" w:hAnsi="仿宋" w:eastAsia="仿宋"/>
          <w:sz w:val="32"/>
          <w:szCs w:val="32"/>
          <w:lang w:val="en-US" w:eastAsia="zh-CN"/>
        </w:rPr>
        <w:t>10.9</w:t>
      </w:r>
      <w:r>
        <w:rPr>
          <w:rFonts w:hint="eastAsia" w:ascii="仿宋" w:hAnsi="仿宋" w:eastAsia="仿宋"/>
          <w:sz w:val="32"/>
          <w:szCs w:val="32"/>
        </w:rPr>
        <w:t>万元</w:t>
      </w:r>
      <w:r>
        <w:rPr>
          <w:rFonts w:hint="eastAsia" w:ascii="仿宋" w:hAnsi="仿宋" w:eastAsia="仿宋"/>
          <w:sz w:val="32"/>
          <w:szCs w:val="32"/>
          <w:lang w:eastAsia="zh-CN"/>
        </w:rPr>
        <w:t>。</w:t>
      </w:r>
    </w:p>
    <w:p>
      <w:pPr>
        <w:shd w:val="clear" w:color="auto" w:fill="FFFFFF"/>
        <w:ind w:firstLine="627" w:firstLineChars="196"/>
        <w:jc w:val="left"/>
        <w:rPr>
          <w:rFonts w:ascii="楷体_GB2312" w:eastAsia="楷体_GB2312"/>
          <w:sz w:val="32"/>
          <w:szCs w:val="32"/>
        </w:rPr>
      </w:pPr>
      <w:r>
        <w:rPr>
          <w:rFonts w:hint="eastAsia" w:ascii="方正仿宋简体" w:hAnsi="宋体" w:eastAsia="方正仿宋简体" w:cs="宋体"/>
          <w:sz w:val="32"/>
          <w:szCs w:val="32"/>
        </w:rPr>
        <w:t>（三）</w:t>
      </w:r>
      <w:r>
        <w:rPr>
          <w:rFonts w:hint="eastAsia" w:ascii="楷体_GB2312" w:eastAsia="楷体_GB2312"/>
          <w:sz w:val="32"/>
          <w:szCs w:val="32"/>
        </w:rPr>
        <w:t>一般公共预算当年财政拨款具体使用情况</w:t>
      </w: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shd w:val="clear" w:color="auto" w:fill="FFFFFF"/>
          <w:lang w:val="en-US" w:eastAsia="zh-CN"/>
        </w:rPr>
        <w:t>1.</w:t>
      </w:r>
      <w:r>
        <w:rPr>
          <w:rFonts w:hint="eastAsia" w:ascii="仿宋" w:hAnsi="仿宋" w:eastAsia="仿宋"/>
          <w:b/>
          <w:sz w:val="32"/>
          <w:szCs w:val="32"/>
          <w:shd w:val="clear" w:color="auto" w:fill="FFFFFF"/>
        </w:rPr>
        <w:t>社会保障和就业（类，208）行政事业单位离退休（款，20805）机关事业单位基本养老保险缴费（项，2080505）</w:t>
      </w:r>
      <w:r>
        <w:rPr>
          <w:rFonts w:hint="eastAsia" w:ascii="仿宋" w:hAnsi="仿宋" w:eastAsia="仿宋"/>
          <w:sz w:val="32"/>
          <w:szCs w:val="32"/>
          <w:shd w:val="clear" w:color="auto" w:fill="FFFFFF"/>
        </w:rPr>
        <w:t>支出</w:t>
      </w:r>
      <w:r>
        <w:rPr>
          <w:rFonts w:hint="eastAsia" w:ascii="仿宋" w:hAnsi="仿宋" w:eastAsia="仿宋"/>
          <w:sz w:val="32"/>
          <w:szCs w:val="32"/>
          <w:shd w:val="clear" w:color="auto" w:fill="FFFFFF"/>
          <w:lang w:val="en-US" w:eastAsia="zh-CN"/>
        </w:rPr>
        <w:t>192.6</w:t>
      </w:r>
      <w:r>
        <w:rPr>
          <w:rFonts w:hint="eastAsia" w:ascii="仿宋" w:hAnsi="仿宋" w:eastAsia="仿宋"/>
          <w:sz w:val="32"/>
          <w:szCs w:val="32"/>
          <w:shd w:val="clear" w:color="auto" w:fill="FFFFFF"/>
        </w:rPr>
        <w:t>万元，比2017年增加</w:t>
      </w:r>
      <w:r>
        <w:rPr>
          <w:rFonts w:hint="eastAsia" w:ascii="仿宋" w:hAnsi="仿宋" w:eastAsia="仿宋"/>
          <w:sz w:val="32"/>
          <w:szCs w:val="32"/>
          <w:shd w:val="clear" w:color="auto" w:fill="FFFFFF"/>
          <w:lang w:val="en-US" w:eastAsia="zh-CN"/>
        </w:rPr>
        <w:t xml:space="preserve">    192.6</w:t>
      </w:r>
      <w:r>
        <w:rPr>
          <w:rFonts w:hint="eastAsia" w:ascii="仿宋" w:hAnsi="仿宋" w:eastAsia="仿宋"/>
          <w:sz w:val="32"/>
          <w:szCs w:val="32"/>
          <w:shd w:val="clear" w:color="auto" w:fill="FFFFFF"/>
        </w:rPr>
        <w:t>万元，主要为2018年将此项预算支出予以单列出来。</w:t>
      </w: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rPr>
        <w:t>3.社会保障和就业（类，208）行政事业单位离退休（款，20805）机关事业单位职业年金缴费（项，2080506）</w:t>
      </w:r>
      <w:r>
        <w:rPr>
          <w:rFonts w:hint="eastAsia" w:ascii="仿宋" w:hAnsi="仿宋" w:eastAsia="仿宋"/>
          <w:sz w:val="32"/>
          <w:szCs w:val="32"/>
        </w:rPr>
        <w:t>支出</w:t>
      </w:r>
      <w:r>
        <w:rPr>
          <w:rFonts w:hint="eastAsia" w:ascii="仿宋" w:hAnsi="仿宋" w:eastAsia="仿宋"/>
          <w:sz w:val="32"/>
          <w:szCs w:val="32"/>
          <w:lang w:val="en-US" w:eastAsia="zh-CN"/>
        </w:rPr>
        <w:t xml:space="preserve">   75.1 </w:t>
      </w:r>
      <w:r>
        <w:rPr>
          <w:rFonts w:hint="eastAsia" w:ascii="仿宋" w:hAnsi="仿宋" w:eastAsia="仿宋"/>
          <w:sz w:val="32"/>
          <w:szCs w:val="32"/>
        </w:rPr>
        <w:t>万元，比2017年增加7</w:t>
      </w:r>
      <w:r>
        <w:rPr>
          <w:rFonts w:hint="eastAsia" w:ascii="仿宋" w:hAnsi="仿宋" w:eastAsia="仿宋"/>
          <w:sz w:val="32"/>
          <w:szCs w:val="32"/>
          <w:lang w:val="en-US" w:eastAsia="zh-CN"/>
        </w:rPr>
        <w:t>5.1</w:t>
      </w:r>
      <w:r>
        <w:rPr>
          <w:rFonts w:hint="eastAsia" w:ascii="仿宋" w:hAnsi="仿宋" w:eastAsia="仿宋"/>
          <w:sz w:val="32"/>
          <w:szCs w:val="32"/>
        </w:rPr>
        <w:t>万元，主要为2018年将此预算支出予以单列出来。</w:t>
      </w:r>
    </w:p>
    <w:p>
      <w:pPr>
        <w:shd w:val="clear" w:color="auto" w:fill="FFFFFF"/>
        <w:ind w:firstLine="710" w:firstLineChars="221"/>
        <w:jc w:val="left"/>
        <w:rPr>
          <w:rFonts w:hint="eastAsia" w:ascii="仿宋" w:hAnsi="仿宋" w:eastAsia="仿宋"/>
          <w:sz w:val="32"/>
          <w:szCs w:val="32"/>
        </w:rPr>
      </w:pPr>
      <w:r>
        <w:rPr>
          <w:rFonts w:hint="eastAsia" w:ascii="仿宋" w:hAnsi="仿宋" w:eastAsia="仿宋"/>
          <w:b/>
          <w:sz w:val="32"/>
          <w:szCs w:val="32"/>
        </w:rPr>
        <w:t>4.社会保障和就业（类，208）抚恤（款，2080</w:t>
      </w:r>
      <w:r>
        <w:rPr>
          <w:rFonts w:hint="eastAsia" w:ascii="仿宋" w:hAnsi="仿宋" w:eastAsia="仿宋"/>
          <w:b/>
          <w:sz w:val="32"/>
          <w:szCs w:val="32"/>
          <w:lang w:val="en-US" w:eastAsia="zh-CN"/>
        </w:rPr>
        <w:t>7</w:t>
      </w:r>
      <w:r>
        <w:rPr>
          <w:rFonts w:hint="eastAsia" w:ascii="仿宋" w:hAnsi="仿宋" w:eastAsia="仿宋"/>
          <w:b/>
          <w:sz w:val="32"/>
          <w:szCs w:val="32"/>
        </w:rPr>
        <w:t>）</w:t>
      </w:r>
      <w:r>
        <w:rPr>
          <w:rFonts w:hint="eastAsia" w:ascii="仿宋" w:hAnsi="仿宋" w:eastAsia="仿宋"/>
          <w:b/>
          <w:sz w:val="32"/>
          <w:szCs w:val="32"/>
          <w:lang w:eastAsia="zh-CN"/>
        </w:rPr>
        <w:t>就业补助</w:t>
      </w:r>
      <w:r>
        <w:rPr>
          <w:rFonts w:hint="eastAsia" w:ascii="仿宋" w:hAnsi="仿宋" w:eastAsia="仿宋"/>
          <w:b/>
          <w:sz w:val="32"/>
          <w:szCs w:val="32"/>
        </w:rPr>
        <w:t>（项，2080</w:t>
      </w:r>
      <w:r>
        <w:rPr>
          <w:rFonts w:hint="eastAsia" w:ascii="仿宋" w:hAnsi="仿宋" w:eastAsia="仿宋"/>
          <w:b/>
          <w:sz w:val="32"/>
          <w:szCs w:val="32"/>
          <w:lang w:val="en-US" w:eastAsia="zh-CN"/>
        </w:rPr>
        <w:t>705</w:t>
      </w:r>
      <w:r>
        <w:rPr>
          <w:rFonts w:hint="eastAsia" w:ascii="仿宋" w:hAnsi="仿宋" w:eastAsia="仿宋"/>
          <w:b/>
          <w:sz w:val="32"/>
          <w:szCs w:val="32"/>
        </w:rPr>
        <w:t>）</w:t>
      </w:r>
      <w:r>
        <w:rPr>
          <w:rFonts w:hint="eastAsia" w:ascii="仿宋" w:hAnsi="仿宋" w:eastAsia="仿宋"/>
          <w:sz w:val="32"/>
          <w:szCs w:val="32"/>
        </w:rPr>
        <w:t>支出</w:t>
      </w:r>
      <w:r>
        <w:rPr>
          <w:rFonts w:hint="eastAsia" w:ascii="仿宋" w:hAnsi="仿宋" w:eastAsia="仿宋"/>
          <w:sz w:val="32"/>
          <w:szCs w:val="32"/>
          <w:lang w:val="en-US" w:eastAsia="zh-CN"/>
        </w:rPr>
        <w:t>2.4</w:t>
      </w:r>
      <w:r>
        <w:rPr>
          <w:rFonts w:hint="eastAsia" w:ascii="仿宋" w:hAnsi="仿宋" w:eastAsia="仿宋"/>
          <w:sz w:val="32"/>
          <w:szCs w:val="32"/>
        </w:rPr>
        <w:t>万元，比2017年增加2.</w:t>
      </w:r>
      <w:r>
        <w:rPr>
          <w:rFonts w:hint="eastAsia" w:ascii="仿宋" w:hAnsi="仿宋" w:eastAsia="仿宋"/>
          <w:sz w:val="32"/>
          <w:szCs w:val="32"/>
          <w:lang w:val="en-US" w:eastAsia="zh-CN"/>
        </w:rPr>
        <w:t>4</w:t>
      </w:r>
      <w:r>
        <w:rPr>
          <w:rFonts w:hint="eastAsia" w:ascii="仿宋" w:hAnsi="仿宋" w:eastAsia="仿宋"/>
          <w:sz w:val="32"/>
          <w:szCs w:val="32"/>
        </w:rPr>
        <w:t>万元，主要为2018年将此预算支出予以单列出来。</w:t>
      </w: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lang w:val="en-US" w:eastAsia="zh-CN"/>
        </w:rPr>
        <w:t>5.</w:t>
      </w:r>
      <w:r>
        <w:rPr>
          <w:rFonts w:hint="eastAsia" w:ascii="仿宋" w:hAnsi="仿宋" w:eastAsia="仿宋"/>
          <w:b/>
          <w:sz w:val="32"/>
          <w:szCs w:val="32"/>
        </w:rPr>
        <w:t>社会保障和就业（类，208）抚恤（款，2080</w:t>
      </w:r>
      <w:r>
        <w:rPr>
          <w:rFonts w:hint="eastAsia" w:ascii="仿宋" w:hAnsi="仿宋" w:eastAsia="仿宋"/>
          <w:b/>
          <w:sz w:val="32"/>
          <w:szCs w:val="32"/>
          <w:lang w:val="en-US" w:eastAsia="zh-CN"/>
        </w:rPr>
        <w:t>8</w:t>
      </w:r>
      <w:r>
        <w:rPr>
          <w:rFonts w:hint="eastAsia" w:ascii="仿宋" w:hAnsi="仿宋" w:eastAsia="仿宋"/>
          <w:b/>
          <w:sz w:val="32"/>
          <w:szCs w:val="32"/>
        </w:rPr>
        <w:t>）</w:t>
      </w:r>
      <w:r>
        <w:rPr>
          <w:rFonts w:hint="eastAsia" w:ascii="仿宋" w:hAnsi="仿宋" w:eastAsia="仿宋"/>
          <w:b/>
          <w:sz w:val="32"/>
          <w:szCs w:val="32"/>
          <w:lang w:eastAsia="zh-CN"/>
        </w:rPr>
        <w:t>就业补助</w:t>
      </w:r>
      <w:r>
        <w:rPr>
          <w:rFonts w:hint="eastAsia" w:ascii="仿宋" w:hAnsi="仿宋" w:eastAsia="仿宋"/>
          <w:b/>
          <w:sz w:val="32"/>
          <w:szCs w:val="32"/>
        </w:rPr>
        <w:t>（项，2080</w:t>
      </w:r>
      <w:r>
        <w:rPr>
          <w:rFonts w:hint="eastAsia" w:ascii="仿宋" w:hAnsi="仿宋" w:eastAsia="仿宋"/>
          <w:b/>
          <w:sz w:val="32"/>
          <w:szCs w:val="32"/>
          <w:lang w:val="en-US" w:eastAsia="zh-CN"/>
        </w:rPr>
        <w:t>801</w:t>
      </w:r>
      <w:r>
        <w:rPr>
          <w:rFonts w:hint="eastAsia" w:ascii="仿宋" w:hAnsi="仿宋" w:eastAsia="仿宋"/>
          <w:b/>
          <w:sz w:val="32"/>
          <w:szCs w:val="32"/>
        </w:rPr>
        <w:t>）</w:t>
      </w:r>
      <w:r>
        <w:rPr>
          <w:rFonts w:hint="eastAsia" w:ascii="仿宋" w:hAnsi="仿宋" w:eastAsia="仿宋"/>
          <w:sz w:val="32"/>
          <w:szCs w:val="32"/>
        </w:rPr>
        <w:t>支出</w:t>
      </w:r>
      <w:r>
        <w:rPr>
          <w:rFonts w:hint="eastAsia" w:ascii="仿宋" w:hAnsi="仿宋" w:eastAsia="仿宋"/>
          <w:sz w:val="32"/>
          <w:szCs w:val="32"/>
          <w:lang w:val="en-US" w:eastAsia="zh-CN"/>
        </w:rPr>
        <w:t>12.3</w:t>
      </w:r>
      <w:r>
        <w:rPr>
          <w:rFonts w:hint="eastAsia" w:ascii="仿宋" w:hAnsi="仿宋" w:eastAsia="仿宋"/>
          <w:sz w:val="32"/>
          <w:szCs w:val="32"/>
        </w:rPr>
        <w:t>万元，比2017年增加</w:t>
      </w:r>
      <w:r>
        <w:rPr>
          <w:rFonts w:hint="eastAsia" w:ascii="仿宋" w:hAnsi="仿宋" w:eastAsia="仿宋"/>
          <w:sz w:val="32"/>
          <w:szCs w:val="32"/>
          <w:lang w:val="en-US" w:eastAsia="zh-CN"/>
        </w:rPr>
        <w:t>12.3</w:t>
      </w:r>
      <w:r>
        <w:rPr>
          <w:rFonts w:hint="eastAsia" w:ascii="仿宋" w:hAnsi="仿宋" w:eastAsia="仿宋"/>
          <w:sz w:val="32"/>
          <w:szCs w:val="32"/>
        </w:rPr>
        <w:t>万元，主要为2018年将此预算支出予以单列出来。</w:t>
      </w:r>
    </w:p>
    <w:p>
      <w:pPr>
        <w:shd w:val="clear" w:color="auto" w:fill="FFFFFF"/>
        <w:ind w:firstLine="710" w:firstLineChars="221"/>
        <w:jc w:val="left"/>
        <w:rPr>
          <w:rFonts w:ascii="仿宋" w:hAnsi="仿宋" w:eastAsia="仿宋"/>
          <w:sz w:val="32"/>
          <w:szCs w:val="32"/>
        </w:rPr>
      </w:pP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lang w:val="en-US" w:eastAsia="zh-CN"/>
        </w:rPr>
        <w:t>6</w:t>
      </w:r>
      <w:r>
        <w:rPr>
          <w:rFonts w:hint="eastAsia" w:ascii="仿宋" w:hAnsi="仿宋" w:eastAsia="仿宋"/>
          <w:b/>
          <w:sz w:val="32"/>
          <w:szCs w:val="32"/>
        </w:rPr>
        <w:t>.医疗卫生与计划生育（类，210）公共卫生（款，210</w:t>
      </w:r>
      <w:r>
        <w:rPr>
          <w:rFonts w:hint="eastAsia" w:ascii="仿宋" w:hAnsi="仿宋" w:eastAsia="仿宋"/>
          <w:b/>
          <w:sz w:val="32"/>
          <w:szCs w:val="32"/>
          <w:lang w:val="en-US" w:eastAsia="zh-CN"/>
        </w:rPr>
        <w:t>11</w:t>
      </w:r>
      <w:r>
        <w:rPr>
          <w:rFonts w:hint="eastAsia" w:ascii="仿宋" w:hAnsi="仿宋" w:eastAsia="仿宋"/>
          <w:b/>
          <w:sz w:val="32"/>
          <w:szCs w:val="32"/>
        </w:rPr>
        <w:t>）</w:t>
      </w:r>
      <w:r>
        <w:rPr>
          <w:rFonts w:hint="eastAsia" w:ascii="宋体" w:hAnsi="宋体" w:cs="宋体"/>
          <w:color w:val="000000"/>
          <w:kern w:val="0"/>
          <w:sz w:val="22"/>
          <w:szCs w:val="22"/>
          <w:lang w:eastAsia="zh-CN"/>
        </w:rPr>
        <w:t>行政事业单位医疗</w:t>
      </w:r>
      <w:r>
        <w:rPr>
          <w:rFonts w:hint="eastAsia" w:ascii="仿宋" w:hAnsi="仿宋" w:eastAsia="仿宋"/>
          <w:b/>
          <w:sz w:val="32"/>
          <w:szCs w:val="32"/>
        </w:rPr>
        <w:t>（项，210</w:t>
      </w:r>
      <w:r>
        <w:rPr>
          <w:rFonts w:hint="eastAsia" w:ascii="仿宋" w:hAnsi="仿宋" w:eastAsia="仿宋"/>
          <w:b/>
          <w:sz w:val="32"/>
          <w:szCs w:val="32"/>
          <w:lang w:val="en-US" w:eastAsia="zh-CN"/>
        </w:rPr>
        <w:t>1101</w:t>
      </w:r>
      <w:r>
        <w:rPr>
          <w:rFonts w:hint="eastAsia" w:ascii="仿宋" w:hAnsi="仿宋" w:eastAsia="仿宋"/>
          <w:b/>
          <w:sz w:val="32"/>
          <w:szCs w:val="32"/>
        </w:rPr>
        <w:t>）</w:t>
      </w:r>
      <w:r>
        <w:rPr>
          <w:rFonts w:hint="eastAsia" w:ascii="仿宋" w:hAnsi="仿宋" w:eastAsia="仿宋"/>
          <w:sz w:val="32"/>
          <w:szCs w:val="32"/>
        </w:rPr>
        <w:t>支出</w:t>
      </w:r>
      <w:r>
        <w:rPr>
          <w:rFonts w:hint="eastAsia" w:ascii="仿宋" w:hAnsi="仿宋" w:eastAsia="仿宋"/>
          <w:sz w:val="32"/>
          <w:szCs w:val="32"/>
          <w:lang w:val="en-US" w:eastAsia="zh-CN"/>
        </w:rPr>
        <w:t>77.0</w:t>
      </w:r>
      <w:r>
        <w:rPr>
          <w:rFonts w:hint="eastAsia" w:ascii="仿宋" w:hAnsi="仿宋" w:eastAsia="仿宋"/>
          <w:sz w:val="32"/>
          <w:szCs w:val="32"/>
        </w:rPr>
        <w:t>万元，主要为2018年度预算中对</w:t>
      </w:r>
      <w:r>
        <w:rPr>
          <w:rFonts w:hint="eastAsia" w:ascii="仿宋" w:hAnsi="仿宋" w:eastAsia="仿宋"/>
          <w:b/>
          <w:sz w:val="32"/>
          <w:szCs w:val="32"/>
        </w:rPr>
        <w:t>社会保障和就业（类）</w:t>
      </w:r>
      <w:r>
        <w:rPr>
          <w:rFonts w:hint="eastAsia" w:ascii="仿宋" w:hAnsi="仿宋" w:eastAsia="仿宋"/>
          <w:sz w:val="32"/>
          <w:szCs w:val="32"/>
        </w:rPr>
        <w:t>和</w:t>
      </w:r>
      <w:r>
        <w:rPr>
          <w:rFonts w:hint="eastAsia" w:ascii="仿宋" w:hAnsi="仿宋" w:eastAsia="仿宋"/>
          <w:b/>
          <w:sz w:val="32"/>
          <w:szCs w:val="32"/>
        </w:rPr>
        <w:t>住房保障（类）</w:t>
      </w:r>
      <w:r>
        <w:rPr>
          <w:rFonts w:hint="eastAsia" w:ascii="仿宋" w:hAnsi="仿宋" w:eastAsia="仿宋"/>
          <w:sz w:val="32"/>
          <w:szCs w:val="32"/>
        </w:rPr>
        <w:t>支出进行了单列。</w:t>
      </w:r>
    </w:p>
    <w:p>
      <w:pPr>
        <w:shd w:val="clear" w:color="auto" w:fill="FFFFFF"/>
        <w:ind w:firstLine="710" w:firstLineChars="221"/>
        <w:jc w:val="left"/>
        <w:rPr>
          <w:rFonts w:ascii="仿宋" w:hAnsi="仿宋" w:eastAsia="仿宋"/>
          <w:sz w:val="32"/>
          <w:szCs w:val="32"/>
        </w:rPr>
      </w:pPr>
      <w:r>
        <w:rPr>
          <w:rFonts w:hint="eastAsia" w:ascii="仿宋" w:hAnsi="仿宋" w:eastAsia="仿宋"/>
          <w:b/>
          <w:sz w:val="32"/>
          <w:szCs w:val="32"/>
          <w:lang w:val="en-US" w:eastAsia="zh-CN"/>
        </w:rPr>
        <w:t>7</w:t>
      </w:r>
      <w:r>
        <w:rPr>
          <w:rFonts w:hint="eastAsia" w:ascii="仿宋" w:hAnsi="仿宋" w:eastAsia="仿宋"/>
          <w:b/>
          <w:sz w:val="32"/>
          <w:szCs w:val="32"/>
        </w:rPr>
        <w:t>.医疗卫生与计划生育（类，210）行政事业单位医疗（款，21011）行政单位医疗（项，210110</w:t>
      </w:r>
      <w:r>
        <w:rPr>
          <w:rFonts w:hint="eastAsia" w:ascii="仿宋" w:hAnsi="仿宋" w:eastAsia="仿宋"/>
          <w:b/>
          <w:sz w:val="32"/>
          <w:szCs w:val="32"/>
          <w:lang w:val="en-US" w:eastAsia="zh-CN"/>
        </w:rPr>
        <w:t>3</w:t>
      </w:r>
      <w:r>
        <w:rPr>
          <w:rFonts w:hint="eastAsia" w:ascii="仿宋" w:hAnsi="仿宋" w:eastAsia="仿宋"/>
          <w:b/>
          <w:sz w:val="32"/>
          <w:szCs w:val="32"/>
        </w:rPr>
        <w:t>）</w:t>
      </w:r>
      <w:r>
        <w:rPr>
          <w:rFonts w:hint="eastAsia" w:ascii="仿宋" w:hAnsi="仿宋" w:eastAsia="仿宋"/>
          <w:sz w:val="32"/>
          <w:szCs w:val="32"/>
        </w:rPr>
        <w:t>支出</w:t>
      </w:r>
      <w:r>
        <w:rPr>
          <w:rFonts w:hint="eastAsia" w:ascii="仿宋" w:hAnsi="仿宋" w:eastAsia="仿宋"/>
          <w:sz w:val="32"/>
          <w:szCs w:val="32"/>
          <w:lang w:val="en-US" w:eastAsia="zh-CN"/>
        </w:rPr>
        <w:t xml:space="preserve">   18.1 </w:t>
      </w:r>
      <w:r>
        <w:rPr>
          <w:rFonts w:hint="eastAsia" w:ascii="仿宋" w:hAnsi="仿宋" w:eastAsia="仿宋"/>
          <w:sz w:val="32"/>
          <w:szCs w:val="32"/>
        </w:rPr>
        <w:t>万元，较2017年度增加1</w:t>
      </w:r>
      <w:r>
        <w:rPr>
          <w:rFonts w:hint="eastAsia" w:ascii="仿宋" w:hAnsi="仿宋" w:eastAsia="仿宋"/>
          <w:sz w:val="32"/>
          <w:szCs w:val="32"/>
          <w:lang w:val="en-US" w:eastAsia="zh-CN"/>
        </w:rPr>
        <w:t>8</w:t>
      </w:r>
      <w:r>
        <w:rPr>
          <w:rFonts w:hint="eastAsia" w:ascii="仿宋" w:hAnsi="仿宋" w:eastAsia="仿宋"/>
          <w:sz w:val="32"/>
          <w:szCs w:val="32"/>
        </w:rPr>
        <w:t>.1万元，主要为2018年将此预算支出予以单列出来。</w:t>
      </w:r>
    </w:p>
    <w:p>
      <w:pPr>
        <w:shd w:val="clear" w:color="auto" w:fill="FFFFFF"/>
        <w:ind w:firstLine="710" w:firstLineChars="221"/>
        <w:jc w:val="left"/>
        <w:rPr>
          <w:rFonts w:ascii="方正仿宋简体" w:hAnsi="宋体" w:eastAsia="方正仿宋简体" w:cs="宋体"/>
          <w:sz w:val="32"/>
          <w:szCs w:val="32"/>
        </w:rPr>
      </w:pPr>
      <w:r>
        <w:rPr>
          <w:rFonts w:hint="eastAsia" w:ascii="仿宋" w:hAnsi="仿宋" w:eastAsia="仿宋"/>
          <w:b/>
          <w:sz w:val="32"/>
          <w:szCs w:val="32"/>
          <w:lang w:val="en-US" w:eastAsia="zh-CN"/>
        </w:rPr>
        <w:t>8</w:t>
      </w:r>
      <w:r>
        <w:rPr>
          <w:rFonts w:hint="eastAsia" w:ascii="仿宋" w:hAnsi="仿宋" w:eastAsia="仿宋"/>
          <w:b/>
          <w:sz w:val="32"/>
          <w:szCs w:val="32"/>
        </w:rPr>
        <w:t>.住房保障（类，221）住房改革支出（款，22102）住房公积金（项，2210201）</w:t>
      </w:r>
      <w:r>
        <w:rPr>
          <w:rFonts w:hint="eastAsia" w:ascii="仿宋" w:hAnsi="仿宋" w:eastAsia="仿宋"/>
          <w:sz w:val="32"/>
          <w:szCs w:val="32"/>
        </w:rPr>
        <w:t>支出</w:t>
      </w:r>
      <w:r>
        <w:rPr>
          <w:rFonts w:hint="eastAsia" w:ascii="仿宋" w:hAnsi="仿宋" w:eastAsia="仿宋"/>
          <w:sz w:val="32"/>
          <w:szCs w:val="32"/>
          <w:lang w:val="en-US" w:eastAsia="zh-CN"/>
        </w:rPr>
        <w:t xml:space="preserve"> 109.7</w:t>
      </w:r>
      <w:r>
        <w:rPr>
          <w:rFonts w:hint="eastAsia" w:ascii="仿宋" w:hAnsi="仿宋" w:eastAsia="仿宋"/>
          <w:sz w:val="32"/>
          <w:szCs w:val="32"/>
        </w:rPr>
        <w:t>万元，较2017年度增加</w:t>
      </w:r>
      <w:r>
        <w:rPr>
          <w:rFonts w:hint="eastAsia" w:ascii="仿宋" w:hAnsi="仿宋" w:eastAsia="仿宋"/>
          <w:sz w:val="32"/>
          <w:szCs w:val="32"/>
          <w:lang w:val="en-US" w:eastAsia="zh-CN"/>
        </w:rPr>
        <w:t>109.7</w:t>
      </w:r>
      <w:r>
        <w:rPr>
          <w:rFonts w:hint="eastAsia" w:ascii="仿宋" w:hAnsi="仿宋" w:eastAsia="仿宋"/>
          <w:sz w:val="32"/>
          <w:szCs w:val="32"/>
        </w:rPr>
        <w:t>万元，主要为2018年将此预算支出予以单列出来。</w:t>
      </w:r>
    </w:p>
    <w:p>
      <w:pPr>
        <w:widowControl/>
        <w:jc w:val="left"/>
        <w:rPr>
          <w:rFonts w:ascii="黑体" w:hAnsi="宋体" w:eastAsia="黑体"/>
          <w:sz w:val="32"/>
          <w:szCs w:val="32"/>
        </w:rPr>
      </w:pPr>
      <w:r>
        <w:rPr>
          <w:rFonts w:ascii="黑体" w:hAnsi="宋体" w:eastAsia="黑体"/>
          <w:sz w:val="32"/>
          <w:szCs w:val="32"/>
        </w:rPr>
        <w:br w:type="page"/>
      </w:r>
    </w:p>
    <w:p>
      <w:pPr>
        <w:ind w:firstLine="627" w:firstLineChars="196"/>
        <w:jc w:val="left"/>
        <w:rPr>
          <w:rFonts w:ascii="黑体" w:hAnsi="宋体" w:eastAsia="黑体"/>
          <w:sz w:val="32"/>
          <w:szCs w:val="32"/>
        </w:rPr>
      </w:pPr>
      <w:r>
        <w:rPr>
          <w:rFonts w:hint="eastAsia" w:ascii="黑体" w:hAnsi="宋体" w:eastAsia="黑体"/>
          <w:sz w:val="32"/>
          <w:szCs w:val="32"/>
        </w:rPr>
        <w:t>三、关于那曲市</w:t>
      </w:r>
      <w:r>
        <w:rPr>
          <w:rFonts w:hint="eastAsia" w:ascii="黑体" w:hAnsi="宋体" w:eastAsia="黑体"/>
          <w:sz w:val="32"/>
          <w:szCs w:val="32"/>
          <w:lang w:eastAsia="zh-CN"/>
        </w:rPr>
        <w:t>委宣传部</w:t>
      </w:r>
      <w:r>
        <w:rPr>
          <w:rFonts w:hint="eastAsia" w:ascii="黑体" w:hAnsi="宋体" w:eastAsia="黑体"/>
          <w:sz w:val="32"/>
          <w:szCs w:val="32"/>
        </w:rPr>
        <w:t>2018年度一般公共预算基本支出情况说明</w:t>
      </w:r>
    </w:p>
    <w:p>
      <w:pPr>
        <w:ind w:firstLine="707" w:firstLineChars="221"/>
        <w:jc w:val="left"/>
        <w:rPr>
          <w:rFonts w:ascii="仿宋" w:hAnsi="仿宋" w:eastAsia="仿宋"/>
          <w:sz w:val="32"/>
          <w:szCs w:val="32"/>
        </w:rPr>
      </w:pPr>
      <w:r>
        <w:rPr>
          <w:rFonts w:hint="eastAsia" w:ascii="仿宋" w:hAnsi="仿宋" w:eastAsia="仿宋"/>
          <w:sz w:val="32"/>
          <w:szCs w:val="32"/>
        </w:rPr>
        <w:t>那曲</w:t>
      </w:r>
      <w:r>
        <w:rPr>
          <w:rFonts w:hint="eastAsia" w:ascii="仿宋" w:hAnsi="仿宋" w:eastAsia="仿宋"/>
          <w:sz w:val="32"/>
          <w:szCs w:val="32"/>
          <w:lang w:eastAsia="zh-CN"/>
        </w:rPr>
        <w:t>委宣传部</w:t>
      </w:r>
      <w:r>
        <w:rPr>
          <w:rFonts w:hint="eastAsia" w:ascii="仿宋" w:hAnsi="仿宋" w:eastAsia="仿宋"/>
          <w:sz w:val="32"/>
          <w:szCs w:val="32"/>
        </w:rPr>
        <w:t>2018年度一般公共预算基本支出</w:t>
      </w:r>
      <w:r>
        <w:rPr>
          <w:rFonts w:hint="eastAsia" w:ascii="仿宋" w:hAnsi="仿宋" w:eastAsia="仿宋"/>
          <w:sz w:val="32"/>
          <w:szCs w:val="32"/>
          <w:lang w:val="en-US" w:eastAsia="zh-CN"/>
        </w:rPr>
        <w:t>2104.9</w:t>
      </w:r>
      <w:r>
        <w:rPr>
          <w:rFonts w:hint="eastAsia" w:ascii="仿宋" w:hAnsi="仿宋" w:eastAsia="仿宋"/>
          <w:sz w:val="32"/>
          <w:szCs w:val="32"/>
        </w:rPr>
        <w:t>万元,其中：</w:t>
      </w:r>
    </w:p>
    <w:p>
      <w:pPr>
        <w:ind w:firstLine="707" w:firstLineChars="221"/>
        <w:jc w:val="left"/>
        <w:rPr>
          <w:rFonts w:ascii="仿宋" w:hAnsi="仿宋" w:eastAsia="仿宋"/>
          <w:sz w:val="32"/>
          <w:szCs w:val="32"/>
        </w:rPr>
      </w:pPr>
      <w:r>
        <w:rPr>
          <w:rFonts w:hint="eastAsia" w:ascii="仿宋" w:hAnsi="仿宋" w:eastAsia="仿宋"/>
          <w:sz w:val="32"/>
          <w:szCs w:val="32"/>
          <w:shd w:val="clear" w:color="auto" w:fill="FFFFFF"/>
        </w:rPr>
        <w:t>人员经费</w:t>
      </w:r>
      <w:r>
        <w:rPr>
          <w:rFonts w:hint="eastAsia" w:ascii="仿宋" w:hAnsi="仿宋" w:eastAsia="仿宋"/>
          <w:sz w:val="32"/>
          <w:szCs w:val="32"/>
          <w:shd w:val="clear" w:color="auto" w:fill="FFFFFF"/>
          <w:lang w:val="en-US" w:eastAsia="zh-CN"/>
        </w:rPr>
        <w:t>510.1</w:t>
      </w:r>
      <w:r>
        <w:rPr>
          <w:rFonts w:hint="eastAsia" w:ascii="仿宋" w:hAnsi="仿宋" w:eastAsia="仿宋"/>
          <w:sz w:val="32"/>
          <w:szCs w:val="32"/>
          <w:shd w:val="clear" w:color="auto" w:fill="FFFFFF"/>
        </w:rPr>
        <w:t>万元，含工资福利支出</w:t>
      </w:r>
      <w:r>
        <w:rPr>
          <w:rFonts w:hint="eastAsia" w:ascii="仿宋" w:hAnsi="仿宋" w:eastAsia="仿宋"/>
          <w:sz w:val="32"/>
          <w:szCs w:val="32"/>
          <w:shd w:val="clear" w:color="auto" w:fill="FFFFFF"/>
          <w:lang w:val="en-US" w:eastAsia="zh-CN"/>
        </w:rPr>
        <w:t xml:space="preserve"> 1581.0</w:t>
      </w:r>
      <w:r>
        <w:rPr>
          <w:rFonts w:hint="eastAsia" w:ascii="仿宋" w:hAnsi="仿宋" w:eastAsia="仿宋"/>
          <w:sz w:val="32"/>
          <w:szCs w:val="32"/>
          <w:shd w:val="clear" w:color="auto" w:fill="FFFFFF"/>
        </w:rPr>
        <w:t>万元、</w:t>
      </w:r>
      <w:r>
        <w:rPr>
          <w:rFonts w:hint="eastAsia" w:ascii="仿宋" w:hAnsi="仿宋" w:eastAsia="仿宋"/>
          <w:sz w:val="32"/>
          <w:szCs w:val="32"/>
        </w:rPr>
        <w:t>对个人和家庭的补助</w:t>
      </w:r>
      <w:r>
        <w:rPr>
          <w:rFonts w:hint="eastAsia" w:ascii="仿宋" w:hAnsi="仿宋" w:eastAsia="仿宋"/>
          <w:sz w:val="32"/>
          <w:szCs w:val="32"/>
          <w:lang w:val="en-US" w:eastAsia="zh-CN"/>
        </w:rPr>
        <w:t>13.8</w:t>
      </w:r>
      <w:r>
        <w:rPr>
          <w:rFonts w:hint="eastAsia" w:ascii="仿宋" w:hAnsi="仿宋" w:eastAsia="仿宋"/>
          <w:sz w:val="32"/>
          <w:szCs w:val="32"/>
        </w:rPr>
        <w:t>万元；主要包括：基本工资、津贴补贴、奖金、伙食补助费、机关事业单位养老保险缴费、职业年金缴费、职工基本医疗保险缴费、其他社会保障缴费、住房公积金、其他工资福利支出、抚恤金、其他对个人和家庭的补助支出。</w:t>
      </w:r>
    </w:p>
    <w:p>
      <w:pPr>
        <w:ind w:firstLine="707" w:firstLineChars="221"/>
        <w:jc w:val="left"/>
        <w:rPr>
          <w:rFonts w:ascii="仿宋" w:hAnsi="仿宋" w:eastAsia="仿宋"/>
          <w:sz w:val="32"/>
          <w:szCs w:val="32"/>
        </w:rPr>
      </w:pPr>
      <w:r>
        <w:rPr>
          <w:rFonts w:hint="eastAsia" w:ascii="仿宋" w:hAnsi="仿宋" w:eastAsia="仿宋"/>
          <w:sz w:val="32"/>
          <w:szCs w:val="32"/>
          <w:shd w:val="clear" w:color="auto" w:fill="FFFFFF"/>
        </w:rPr>
        <w:t>公用经费（商品和服务支出）</w:t>
      </w:r>
      <w:r>
        <w:rPr>
          <w:rFonts w:hint="eastAsia" w:ascii="仿宋" w:hAnsi="仿宋" w:eastAsia="仿宋"/>
          <w:sz w:val="32"/>
          <w:szCs w:val="32"/>
          <w:shd w:val="clear" w:color="auto" w:fill="FFFFFF"/>
          <w:lang w:val="en-US" w:eastAsia="zh-CN"/>
        </w:rPr>
        <w:t>122.1</w:t>
      </w:r>
      <w:r>
        <w:rPr>
          <w:rFonts w:hint="eastAsia" w:ascii="仿宋" w:hAnsi="仿宋" w:eastAsia="仿宋"/>
          <w:sz w:val="32"/>
          <w:szCs w:val="32"/>
          <w:shd w:val="clear" w:color="auto" w:fill="FFFFFF"/>
        </w:rPr>
        <w:t>元，</w:t>
      </w:r>
      <w:r>
        <w:rPr>
          <w:rFonts w:hint="eastAsia" w:ascii="仿宋" w:hAnsi="仿宋" w:eastAsia="仿宋"/>
          <w:sz w:val="32"/>
          <w:szCs w:val="32"/>
          <w:shd w:val="clear" w:color="auto" w:fill="FFFFFF"/>
          <w:lang w:val="en-US" w:eastAsia="zh-CN"/>
        </w:rPr>
        <w:t xml:space="preserve"> </w:t>
      </w:r>
      <w:r>
        <w:rPr>
          <w:rFonts w:hint="eastAsia" w:ascii="仿宋" w:hAnsi="仿宋" w:eastAsia="仿宋"/>
          <w:sz w:val="32"/>
          <w:szCs w:val="32"/>
          <w:shd w:val="clear" w:color="auto" w:fill="FFFFFF"/>
        </w:rPr>
        <w:t>主</w:t>
      </w:r>
      <w:r>
        <w:rPr>
          <w:rFonts w:hint="eastAsia" w:ascii="仿宋" w:hAnsi="仿宋" w:eastAsia="仿宋"/>
          <w:sz w:val="32"/>
          <w:szCs w:val="32"/>
        </w:rPr>
        <w:t>要原因为在职人员增加及新增水费（污水处理）预算；主要包括：办公费、印刷费、水（电）费、邮电费、差旅费、维修（护）费、会议费、培训费、公务接待费、福利费、公务用车运行维护费、其他商品和服务支出。</w:t>
      </w:r>
    </w:p>
    <w:p>
      <w:pPr>
        <w:widowControl/>
        <w:jc w:val="left"/>
        <w:rPr>
          <w:rFonts w:ascii="黑体" w:hAnsi="宋体" w:eastAsia="黑体"/>
          <w:sz w:val="32"/>
          <w:szCs w:val="32"/>
        </w:rPr>
      </w:pPr>
      <w:r>
        <w:rPr>
          <w:rFonts w:ascii="黑体" w:hAnsi="宋体" w:eastAsia="黑体"/>
          <w:sz w:val="32"/>
          <w:szCs w:val="32"/>
        </w:rPr>
        <w:br w:type="page"/>
      </w:r>
    </w:p>
    <w:p>
      <w:pPr>
        <w:ind w:firstLine="627" w:firstLineChars="196"/>
        <w:jc w:val="left"/>
        <w:rPr>
          <w:rFonts w:ascii="黑体" w:hAnsi="宋体" w:eastAsia="黑体"/>
          <w:sz w:val="32"/>
          <w:szCs w:val="32"/>
        </w:rPr>
      </w:pPr>
      <w:r>
        <w:rPr>
          <w:rFonts w:hint="eastAsia" w:ascii="黑体" w:hAnsi="宋体" w:eastAsia="黑体"/>
          <w:sz w:val="32"/>
          <w:szCs w:val="32"/>
        </w:rPr>
        <w:t>四、关于那曲市</w:t>
      </w:r>
      <w:r>
        <w:rPr>
          <w:rFonts w:hint="eastAsia" w:ascii="黑体" w:hAnsi="宋体" w:eastAsia="黑体"/>
          <w:sz w:val="32"/>
          <w:szCs w:val="32"/>
          <w:lang w:eastAsia="zh-CN"/>
        </w:rPr>
        <w:t>委宣传部</w:t>
      </w:r>
      <w:r>
        <w:rPr>
          <w:rFonts w:hint="eastAsia" w:ascii="黑体" w:hAnsi="宋体" w:eastAsia="黑体"/>
          <w:sz w:val="32"/>
          <w:szCs w:val="32"/>
        </w:rPr>
        <w:t>2018年“三公”经费预算情况说明</w:t>
      </w:r>
    </w:p>
    <w:p>
      <w:pPr>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那曲</w:t>
      </w:r>
      <w:r>
        <w:rPr>
          <w:rFonts w:hint="eastAsia" w:ascii="仿宋" w:hAnsi="仿宋" w:eastAsia="仿宋"/>
          <w:sz w:val="32"/>
          <w:szCs w:val="32"/>
          <w:lang w:eastAsia="zh-CN"/>
        </w:rPr>
        <w:t>委宣传部</w:t>
      </w:r>
      <w:r>
        <w:rPr>
          <w:rFonts w:hint="eastAsia" w:ascii="仿宋" w:hAnsi="仿宋" w:eastAsia="仿宋"/>
          <w:sz w:val="32"/>
          <w:szCs w:val="32"/>
        </w:rPr>
        <w:t xml:space="preserve">2018年“三公”经费预算数合计 </w:t>
      </w:r>
      <w:r>
        <w:rPr>
          <w:rFonts w:hint="eastAsia" w:ascii="仿宋" w:hAnsi="仿宋" w:eastAsia="仿宋"/>
          <w:sz w:val="32"/>
          <w:szCs w:val="32"/>
          <w:lang w:val="en-US" w:eastAsia="zh-CN"/>
        </w:rPr>
        <w:t>97.8</w:t>
      </w:r>
      <w:r>
        <w:rPr>
          <w:rFonts w:hint="eastAsia" w:ascii="仿宋" w:hAnsi="仿宋" w:eastAsia="仿宋"/>
          <w:sz w:val="32"/>
          <w:szCs w:val="32"/>
        </w:rPr>
        <w:t>万元，其中：因公出国(境)费0.00万元，公务用车购置及运行费</w:t>
      </w:r>
      <w:r>
        <w:rPr>
          <w:rFonts w:hint="eastAsia" w:ascii="仿宋" w:hAnsi="仿宋" w:eastAsia="仿宋"/>
          <w:sz w:val="32"/>
          <w:szCs w:val="32"/>
          <w:lang w:val="en-US" w:eastAsia="zh-CN"/>
        </w:rPr>
        <w:t>86.5</w:t>
      </w:r>
      <w:r>
        <w:rPr>
          <w:rFonts w:hint="eastAsia" w:ascii="仿宋" w:hAnsi="仿宋" w:eastAsia="仿宋"/>
          <w:sz w:val="32"/>
          <w:szCs w:val="32"/>
        </w:rPr>
        <w:t>万元（购置费0.00万元，运行费</w:t>
      </w:r>
      <w:r>
        <w:rPr>
          <w:rFonts w:hint="eastAsia" w:ascii="仿宋" w:hAnsi="仿宋" w:eastAsia="仿宋"/>
          <w:sz w:val="32"/>
          <w:szCs w:val="32"/>
          <w:lang w:val="en-US" w:eastAsia="zh-CN"/>
        </w:rPr>
        <w:t>86.5</w:t>
      </w:r>
      <w:r>
        <w:rPr>
          <w:rFonts w:hint="eastAsia" w:ascii="仿宋" w:hAnsi="仿宋" w:eastAsia="仿宋"/>
          <w:sz w:val="32"/>
          <w:szCs w:val="32"/>
        </w:rPr>
        <w:t>万元），公务接待费</w:t>
      </w:r>
      <w:r>
        <w:rPr>
          <w:rFonts w:hint="eastAsia" w:ascii="仿宋" w:hAnsi="仿宋" w:eastAsia="仿宋"/>
          <w:sz w:val="32"/>
          <w:szCs w:val="32"/>
          <w:lang w:val="en-US" w:eastAsia="zh-CN"/>
        </w:rPr>
        <w:t>11.3</w:t>
      </w:r>
      <w:r>
        <w:rPr>
          <w:rFonts w:hint="eastAsia" w:ascii="仿宋" w:hAnsi="仿宋" w:eastAsia="仿宋"/>
          <w:sz w:val="32"/>
          <w:szCs w:val="32"/>
        </w:rPr>
        <w:t>万元，</w:t>
      </w:r>
      <w:r>
        <w:rPr>
          <w:rFonts w:hint="eastAsia" w:ascii="仿宋" w:hAnsi="仿宋" w:eastAsia="仿宋"/>
          <w:sz w:val="32"/>
          <w:szCs w:val="32"/>
          <w:lang w:val="en-US" w:eastAsia="zh-CN"/>
        </w:rPr>
        <w:t xml:space="preserve"> </w:t>
      </w:r>
    </w:p>
    <w:p>
      <w:pPr>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2018年，预算因公出国（境）团组数0团次、人数0人次，公务用车购置数0辆、</w:t>
      </w:r>
      <w:r>
        <w:rPr>
          <w:rFonts w:hint="eastAsia" w:ascii="仿宋" w:hAnsi="仿宋" w:eastAsia="仿宋"/>
          <w:sz w:val="32"/>
          <w:szCs w:val="32"/>
          <w:lang w:eastAsia="zh-CN"/>
        </w:rPr>
        <w:t>。</w:t>
      </w:r>
    </w:p>
    <w:p>
      <w:pPr>
        <w:widowControl/>
        <w:shd w:val="clear" w:color="auto" w:fill="FFFFFF"/>
        <w:jc w:val="left"/>
        <w:rPr>
          <w:rFonts w:ascii="黑体" w:hAnsi="宋体" w:eastAsia="黑体"/>
          <w:sz w:val="32"/>
          <w:szCs w:val="32"/>
        </w:rPr>
      </w:pPr>
      <w:r>
        <w:rPr>
          <w:rFonts w:hint="eastAsia" w:ascii="黑体" w:hAnsi="宋体" w:eastAsia="黑体"/>
          <w:sz w:val="32"/>
          <w:szCs w:val="32"/>
        </w:rPr>
        <w:t>五、关于那曲市</w:t>
      </w:r>
      <w:r>
        <w:rPr>
          <w:rFonts w:hint="eastAsia" w:ascii="黑体" w:hAnsi="宋体" w:eastAsia="黑体"/>
          <w:sz w:val="32"/>
          <w:szCs w:val="32"/>
          <w:lang w:eastAsia="zh-CN"/>
        </w:rPr>
        <w:t>委宣传部</w:t>
      </w:r>
      <w:r>
        <w:rPr>
          <w:rFonts w:hint="eastAsia" w:ascii="黑体" w:hAnsi="宋体" w:eastAsia="黑体"/>
          <w:sz w:val="32"/>
          <w:szCs w:val="32"/>
        </w:rPr>
        <w:t>2018年度政府性基金预算支出情况说明</w:t>
      </w:r>
    </w:p>
    <w:p>
      <w:pPr>
        <w:ind w:firstLine="640" w:firstLineChars="200"/>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委宣传部</w:t>
      </w:r>
      <w:r>
        <w:rPr>
          <w:rFonts w:hint="eastAsia" w:ascii="仿宋" w:hAnsi="仿宋" w:eastAsia="仿宋"/>
          <w:sz w:val="32"/>
          <w:szCs w:val="32"/>
        </w:rPr>
        <w:t>2018年没有使用政府性基金预算拨款安排的支出。</w:t>
      </w:r>
    </w:p>
    <w:p>
      <w:pPr>
        <w:ind w:firstLine="640" w:firstLineChars="200"/>
        <w:jc w:val="left"/>
        <w:rPr>
          <w:rFonts w:ascii="仿宋" w:hAnsi="仿宋" w:eastAsia="仿宋"/>
          <w:sz w:val="32"/>
          <w:szCs w:val="32"/>
        </w:rPr>
      </w:pPr>
      <w:r>
        <w:rPr>
          <w:rFonts w:hint="eastAsia" w:ascii="黑体" w:hAnsi="宋体" w:eastAsia="黑体"/>
          <w:sz w:val="32"/>
          <w:szCs w:val="32"/>
        </w:rPr>
        <w:t>六、关于那曲市</w:t>
      </w:r>
      <w:r>
        <w:rPr>
          <w:rFonts w:hint="eastAsia" w:ascii="黑体" w:hAnsi="宋体" w:eastAsia="黑体"/>
          <w:sz w:val="32"/>
          <w:szCs w:val="32"/>
          <w:lang w:eastAsia="zh-CN"/>
        </w:rPr>
        <w:t>委宣传部</w:t>
      </w:r>
      <w:r>
        <w:rPr>
          <w:rFonts w:hint="eastAsia" w:ascii="黑体" w:hAnsi="宋体" w:eastAsia="黑体"/>
          <w:sz w:val="32"/>
          <w:szCs w:val="32"/>
        </w:rPr>
        <w:t>2018年收支预算情况总体说明</w:t>
      </w:r>
    </w:p>
    <w:p>
      <w:pPr>
        <w:ind w:firstLine="640" w:firstLineChars="200"/>
        <w:jc w:val="left"/>
        <w:rPr>
          <w:rFonts w:ascii="仿宋" w:hAnsi="仿宋" w:eastAsia="仿宋"/>
          <w:sz w:val="32"/>
          <w:szCs w:val="32"/>
        </w:rPr>
      </w:pPr>
      <w:r>
        <w:rPr>
          <w:rFonts w:hint="eastAsia" w:ascii="仿宋" w:hAnsi="仿宋" w:eastAsia="仿宋"/>
          <w:sz w:val="32"/>
          <w:szCs w:val="32"/>
        </w:rPr>
        <w:t>2018年一般公共预算收入合计</w:t>
      </w:r>
      <w:r>
        <w:rPr>
          <w:rFonts w:hint="eastAsia" w:ascii="仿宋" w:hAnsi="仿宋" w:eastAsia="仿宋"/>
          <w:sz w:val="32"/>
          <w:szCs w:val="32"/>
          <w:lang w:val="en-US" w:eastAsia="zh-CN"/>
        </w:rPr>
        <w:t>2104.9</w:t>
      </w:r>
      <w:r>
        <w:rPr>
          <w:rFonts w:hint="eastAsia" w:ascii="仿宋" w:hAnsi="仿宋" w:eastAsia="仿宋"/>
          <w:sz w:val="32"/>
          <w:szCs w:val="32"/>
        </w:rPr>
        <w:t>万元，较2017年一般公共预算支出合计</w:t>
      </w:r>
      <w:r>
        <w:rPr>
          <w:rFonts w:hint="eastAsia" w:ascii="仿宋" w:hAnsi="仿宋" w:eastAsia="仿宋"/>
          <w:sz w:val="32"/>
          <w:szCs w:val="32"/>
          <w:lang w:val="en-US" w:eastAsia="zh-CN"/>
        </w:rPr>
        <w:t>1865.74</w:t>
      </w:r>
      <w:r>
        <w:rPr>
          <w:rFonts w:hint="eastAsia" w:ascii="仿宋" w:hAnsi="仿宋" w:eastAsia="仿宋"/>
          <w:sz w:val="32"/>
          <w:szCs w:val="32"/>
        </w:rPr>
        <w:t>万元，增加</w:t>
      </w:r>
      <w:r>
        <w:rPr>
          <w:rFonts w:hint="eastAsia" w:ascii="仿宋" w:hAnsi="仿宋" w:eastAsia="仿宋"/>
          <w:sz w:val="32"/>
          <w:szCs w:val="32"/>
          <w:lang w:val="en-US" w:eastAsia="zh-CN"/>
        </w:rPr>
        <w:t>239.16</w:t>
      </w:r>
      <w:r>
        <w:rPr>
          <w:rFonts w:hint="eastAsia" w:ascii="仿宋" w:hAnsi="仿宋" w:eastAsia="仿宋"/>
          <w:sz w:val="32"/>
          <w:szCs w:val="32"/>
        </w:rPr>
        <w:t>万元。</w:t>
      </w:r>
    </w:p>
    <w:p>
      <w:pPr>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按照综合预算的原则，那曲市</w:t>
      </w:r>
      <w:r>
        <w:rPr>
          <w:rFonts w:hint="eastAsia" w:ascii="仿宋" w:hAnsi="仿宋" w:eastAsia="仿宋"/>
          <w:sz w:val="32"/>
          <w:szCs w:val="32"/>
          <w:lang w:eastAsia="zh-CN"/>
        </w:rPr>
        <w:t>委宣传部</w:t>
      </w:r>
      <w:r>
        <w:rPr>
          <w:rFonts w:hint="eastAsia" w:ascii="仿宋" w:hAnsi="仿宋" w:eastAsia="仿宋"/>
          <w:sz w:val="32"/>
          <w:szCs w:val="32"/>
        </w:rPr>
        <w:t>所有收入和支出均纳入部门预算管理。收入包括：一般公共预算拨款收入（</w:t>
      </w:r>
      <w:r>
        <w:rPr>
          <w:rFonts w:hint="eastAsia" w:ascii="仿宋" w:hAnsi="仿宋" w:eastAsia="仿宋"/>
          <w:sz w:val="32"/>
          <w:szCs w:val="32"/>
          <w:lang w:val="en-US" w:eastAsia="zh-CN"/>
        </w:rPr>
        <w:t>2104.9</w:t>
      </w:r>
      <w:r>
        <w:rPr>
          <w:rFonts w:hint="eastAsia" w:ascii="仿宋" w:hAnsi="仿宋" w:eastAsia="仿宋"/>
          <w:sz w:val="32"/>
          <w:szCs w:val="32"/>
        </w:rPr>
        <w:t>万元）、政府性基金预算拨款收入（0.0万元）、事业收入（0.0万元）、事业单位经营收入（0.0万元）、其他收入（0.0万元）。支出包括：社会保障和就业支出（</w:t>
      </w:r>
      <w:r>
        <w:rPr>
          <w:rFonts w:hint="eastAsia" w:ascii="仿宋" w:hAnsi="仿宋" w:eastAsia="仿宋"/>
          <w:sz w:val="32"/>
          <w:szCs w:val="32"/>
          <w:lang w:val="en-US" w:eastAsia="zh-CN"/>
        </w:rPr>
        <w:t>1617.7</w:t>
      </w:r>
      <w:r>
        <w:rPr>
          <w:rFonts w:hint="eastAsia" w:ascii="仿宋" w:hAnsi="仿宋" w:eastAsia="仿宋"/>
          <w:sz w:val="32"/>
          <w:szCs w:val="32"/>
        </w:rPr>
        <w:t>万元）、医疗卫生与计划生育支出（</w:t>
      </w:r>
      <w:r>
        <w:rPr>
          <w:rFonts w:hint="eastAsia" w:ascii="仿宋" w:hAnsi="仿宋" w:eastAsia="仿宋"/>
          <w:sz w:val="32"/>
          <w:szCs w:val="32"/>
          <w:lang w:val="en-US" w:eastAsia="zh-CN"/>
        </w:rPr>
        <w:t>282.4</w:t>
      </w:r>
      <w:r>
        <w:rPr>
          <w:rFonts w:hint="eastAsia" w:ascii="仿宋" w:hAnsi="仿宋" w:eastAsia="仿宋"/>
          <w:sz w:val="32"/>
          <w:szCs w:val="32"/>
        </w:rPr>
        <w:t>万元）、住房保障支出（</w:t>
      </w:r>
      <w:r>
        <w:rPr>
          <w:rFonts w:hint="eastAsia" w:ascii="仿宋" w:hAnsi="仿宋" w:eastAsia="仿宋"/>
          <w:sz w:val="32"/>
          <w:szCs w:val="32"/>
          <w:lang w:val="en-US" w:eastAsia="zh-CN"/>
        </w:rPr>
        <w:t>109.6</w:t>
      </w:r>
      <w:r>
        <w:rPr>
          <w:rFonts w:hint="eastAsia" w:ascii="仿宋" w:hAnsi="仿宋" w:eastAsia="仿宋"/>
          <w:sz w:val="32"/>
          <w:szCs w:val="32"/>
        </w:rPr>
        <w:t>万元）</w:t>
      </w:r>
    </w:p>
    <w:p>
      <w:pPr>
        <w:ind w:firstLine="640" w:firstLineChars="200"/>
        <w:jc w:val="left"/>
        <w:rPr>
          <w:rFonts w:ascii="仿宋" w:hAnsi="仿宋" w:eastAsia="仿宋"/>
          <w:sz w:val="32"/>
          <w:szCs w:val="32"/>
        </w:rPr>
      </w:pPr>
      <w:r>
        <w:rPr>
          <w:rFonts w:hint="eastAsia" w:ascii="黑体" w:hAnsi="宋体" w:eastAsia="黑体"/>
          <w:sz w:val="32"/>
          <w:szCs w:val="32"/>
        </w:rPr>
        <w:t>七、关于那曲市</w:t>
      </w:r>
      <w:r>
        <w:rPr>
          <w:rFonts w:hint="eastAsia" w:ascii="黑体" w:hAnsi="宋体" w:eastAsia="黑体"/>
          <w:sz w:val="32"/>
          <w:szCs w:val="32"/>
          <w:lang w:eastAsia="zh-CN"/>
        </w:rPr>
        <w:t>委宣传部</w:t>
      </w:r>
      <w:r>
        <w:rPr>
          <w:rFonts w:hint="eastAsia" w:ascii="黑体" w:hAnsi="宋体" w:eastAsia="黑体"/>
          <w:sz w:val="32"/>
          <w:szCs w:val="32"/>
        </w:rPr>
        <w:t>2018年度收入预算情况说明</w:t>
      </w:r>
    </w:p>
    <w:p>
      <w:pPr>
        <w:ind w:firstLine="640" w:firstLineChars="200"/>
        <w:jc w:val="left"/>
        <w:rPr>
          <w:rFonts w:ascii="黑体" w:hAnsi="宋体" w:eastAsia="黑体"/>
          <w:sz w:val="32"/>
          <w:szCs w:val="32"/>
        </w:rPr>
      </w:pPr>
      <w:r>
        <w:rPr>
          <w:rFonts w:hint="eastAsia" w:ascii="仿宋" w:hAnsi="仿宋" w:eastAsia="仿宋"/>
          <w:sz w:val="32"/>
          <w:szCs w:val="32"/>
        </w:rPr>
        <w:t>那曲市</w:t>
      </w:r>
      <w:r>
        <w:rPr>
          <w:rFonts w:hint="eastAsia" w:ascii="仿宋" w:hAnsi="仿宋" w:eastAsia="仿宋"/>
          <w:sz w:val="32"/>
          <w:szCs w:val="32"/>
          <w:lang w:eastAsia="zh-CN"/>
        </w:rPr>
        <w:t>委宣传部</w:t>
      </w:r>
      <w:r>
        <w:rPr>
          <w:rFonts w:hint="eastAsia" w:ascii="仿宋" w:hAnsi="仿宋" w:eastAsia="仿宋"/>
          <w:sz w:val="32"/>
          <w:szCs w:val="32"/>
        </w:rPr>
        <w:t>2018年收入预算</w:t>
      </w:r>
      <w:r>
        <w:rPr>
          <w:rFonts w:hint="eastAsia" w:ascii="仿宋" w:hAnsi="仿宋" w:eastAsia="仿宋"/>
          <w:sz w:val="32"/>
          <w:szCs w:val="32"/>
          <w:lang w:val="en-US" w:eastAsia="zh-CN"/>
        </w:rPr>
        <w:t>2104.9</w:t>
      </w:r>
      <w:r>
        <w:rPr>
          <w:rFonts w:hint="eastAsia" w:ascii="仿宋" w:hAnsi="仿宋" w:eastAsia="仿宋"/>
          <w:sz w:val="32"/>
          <w:szCs w:val="32"/>
        </w:rPr>
        <w:t>万元，其中一般公共预算拨款收入占100.00%。</w:t>
      </w:r>
    </w:p>
    <w:p>
      <w:pPr>
        <w:ind w:firstLine="640" w:firstLineChars="200"/>
        <w:jc w:val="left"/>
        <w:rPr>
          <w:rFonts w:ascii="黑体" w:hAnsi="宋体" w:eastAsia="黑体"/>
          <w:sz w:val="32"/>
          <w:szCs w:val="32"/>
        </w:rPr>
      </w:pPr>
      <w:r>
        <w:rPr>
          <w:rFonts w:hint="eastAsia" w:ascii="黑体" w:hAnsi="宋体" w:eastAsia="黑体"/>
          <w:sz w:val="32"/>
          <w:szCs w:val="32"/>
        </w:rPr>
        <w:t>八、关于那曲市</w:t>
      </w:r>
      <w:r>
        <w:rPr>
          <w:rFonts w:hint="eastAsia" w:ascii="黑体" w:hAnsi="宋体" w:eastAsia="黑体"/>
          <w:sz w:val="32"/>
          <w:szCs w:val="32"/>
          <w:lang w:eastAsia="zh-CN"/>
        </w:rPr>
        <w:t>委宣传部</w:t>
      </w:r>
      <w:r>
        <w:rPr>
          <w:rFonts w:hint="eastAsia" w:ascii="黑体" w:hAnsi="宋体" w:eastAsia="黑体"/>
          <w:sz w:val="32"/>
          <w:szCs w:val="32"/>
        </w:rPr>
        <w:t>2018年度支出预算情况说明</w:t>
      </w:r>
    </w:p>
    <w:p>
      <w:pPr>
        <w:ind w:firstLine="707" w:firstLineChars="221"/>
        <w:jc w:val="left"/>
        <w:rPr>
          <w:rFonts w:ascii="仿宋" w:hAnsi="仿宋" w:eastAsia="仿宋"/>
          <w:sz w:val="32"/>
          <w:szCs w:val="32"/>
          <w:shd w:val="clear" w:color="auto" w:fill="FFFFFF"/>
        </w:rPr>
      </w:pPr>
      <w:r>
        <w:rPr>
          <w:rFonts w:hint="eastAsia" w:ascii="仿宋" w:hAnsi="仿宋" w:eastAsia="仿宋"/>
          <w:sz w:val="32"/>
          <w:szCs w:val="32"/>
        </w:rPr>
        <w:t>那曲市疾控中心2018年支出预算</w:t>
      </w:r>
      <w:r>
        <w:rPr>
          <w:rFonts w:hint="eastAsia" w:ascii="仿宋" w:hAnsi="仿宋" w:eastAsia="仿宋"/>
          <w:sz w:val="32"/>
          <w:szCs w:val="32"/>
          <w:lang w:val="en-US" w:eastAsia="zh-CN"/>
        </w:rPr>
        <w:t>2104.9</w:t>
      </w:r>
      <w:r>
        <w:rPr>
          <w:rFonts w:hint="eastAsia" w:ascii="仿宋" w:hAnsi="仿宋" w:eastAsia="仿宋"/>
          <w:sz w:val="32"/>
          <w:szCs w:val="32"/>
        </w:rPr>
        <w:t>万元，其中：基本支</w:t>
      </w:r>
      <w:r>
        <w:rPr>
          <w:rFonts w:hint="eastAsia" w:ascii="仿宋" w:hAnsi="仿宋" w:eastAsia="仿宋"/>
          <w:sz w:val="32"/>
          <w:szCs w:val="32"/>
          <w:lang w:eastAsia="zh-CN"/>
        </w:rPr>
        <w:t>出</w:t>
      </w:r>
      <w:r>
        <w:rPr>
          <w:rFonts w:hint="eastAsia" w:ascii="仿宋" w:hAnsi="仿宋" w:eastAsia="仿宋"/>
          <w:sz w:val="32"/>
          <w:szCs w:val="32"/>
          <w:lang w:val="en-US" w:eastAsia="zh-CN"/>
        </w:rPr>
        <w:t>1716.9万元</w:t>
      </w:r>
      <w:r>
        <w:rPr>
          <w:rFonts w:hint="eastAsia" w:ascii="仿宋" w:hAnsi="仿宋" w:eastAsia="仿宋"/>
          <w:sz w:val="32"/>
          <w:szCs w:val="32"/>
        </w:rPr>
        <w:t>，</w:t>
      </w:r>
      <w:r>
        <w:rPr>
          <w:rFonts w:hint="eastAsia" w:ascii="仿宋" w:hAnsi="仿宋" w:eastAsia="仿宋"/>
          <w:sz w:val="32"/>
          <w:szCs w:val="32"/>
          <w:shd w:val="clear" w:color="auto" w:fill="FFFFFF"/>
        </w:rPr>
        <w:t>项目支出</w:t>
      </w:r>
      <w:r>
        <w:rPr>
          <w:rFonts w:hint="eastAsia" w:ascii="仿宋" w:hAnsi="仿宋" w:eastAsia="仿宋"/>
          <w:sz w:val="32"/>
          <w:szCs w:val="32"/>
          <w:shd w:val="clear" w:color="auto" w:fill="FFFFFF"/>
          <w:lang w:val="en-US" w:eastAsia="zh-CN"/>
        </w:rPr>
        <w:t>388万元。</w:t>
      </w:r>
    </w:p>
    <w:p>
      <w:pPr>
        <w:ind w:firstLine="640" w:firstLineChars="200"/>
        <w:jc w:val="left"/>
        <w:rPr>
          <w:rFonts w:ascii="黑体" w:hAnsi="宋体" w:eastAsia="黑体"/>
          <w:sz w:val="32"/>
          <w:szCs w:val="32"/>
        </w:rPr>
      </w:pPr>
      <w:r>
        <w:rPr>
          <w:rFonts w:hint="eastAsia" w:ascii="黑体" w:hAnsi="宋体" w:eastAsia="黑体"/>
          <w:sz w:val="32"/>
          <w:szCs w:val="32"/>
        </w:rPr>
        <w:t>九、其他重要事项的情况说明</w:t>
      </w:r>
    </w:p>
    <w:p>
      <w:pPr>
        <w:ind w:firstLine="640" w:firstLineChars="200"/>
        <w:jc w:val="left"/>
        <w:rPr>
          <w:rFonts w:ascii="黑体" w:hAnsi="宋体" w:eastAsia="黑体"/>
          <w:sz w:val="32"/>
          <w:szCs w:val="32"/>
        </w:rPr>
      </w:pPr>
      <w:r>
        <w:rPr>
          <w:rFonts w:hint="eastAsia" w:ascii="仿宋" w:hAnsi="仿宋" w:eastAsia="仿宋"/>
          <w:sz w:val="32"/>
          <w:szCs w:val="32"/>
        </w:rPr>
        <w:t>（一）</w:t>
      </w:r>
      <w:r>
        <w:rPr>
          <w:rFonts w:ascii="黑体" w:hAnsi="宋体" w:eastAsia="黑体"/>
          <w:sz w:val="32"/>
          <w:szCs w:val="32"/>
        </w:rPr>
        <w:t>政府采购情况说明</w:t>
      </w:r>
    </w:p>
    <w:p>
      <w:pPr>
        <w:ind w:firstLine="640" w:firstLineChars="200"/>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委宣传部</w:t>
      </w:r>
      <w:r>
        <w:rPr>
          <w:rFonts w:hint="eastAsia" w:ascii="仿宋" w:hAnsi="仿宋" w:eastAsia="仿宋"/>
          <w:sz w:val="32"/>
          <w:szCs w:val="32"/>
        </w:rPr>
        <w:t>2018年度未安排专项政府采购预算。</w:t>
      </w:r>
    </w:p>
    <w:p>
      <w:pPr>
        <w:ind w:firstLine="640" w:firstLineChars="200"/>
        <w:jc w:val="left"/>
        <w:rPr>
          <w:rFonts w:ascii="黑体" w:hAnsi="宋体" w:eastAsia="黑体"/>
          <w:sz w:val="32"/>
          <w:szCs w:val="32"/>
        </w:rPr>
      </w:pPr>
      <w:r>
        <w:rPr>
          <w:rFonts w:hint="eastAsia" w:ascii="黑体" w:hAnsi="宋体" w:eastAsia="黑体"/>
          <w:sz w:val="32"/>
          <w:szCs w:val="32"/>
        </w:rPr>
        <w:t>（二）国有资产占有使用情况</w:t>
      </w:r>
    </w:p>
    <w:p>
      <w:pPr>
        <w:shd w:val="clear" w:color="auto" w:fill="FFFFFF"/>
        <w:ind w:firstLine="640" w:firstLineChars="200"/>
        <w:jc w:val="left"/>
        <w:rPr>
          <w:rFonts w:ascii="仿宋" w:hAnsi="仿宋" w:eastAsia="仿宋"/>
          <w:sz w:val="32"/>
          <w:szCs w:val="32"/>
        </w:rPr>
      </w:pPr>
      <w:r>
        <w:rPr>
          <w:rFonts w:hint="eastAsia" w:ascii="仿宋" w:hAnsi="仿宋" w:eastAsia="仿宋"/>
          <w:sz w:val="32"/>
          <w:szCs w:val="32"/>
        </w:rPr>
        <w:t>截至2018年1月1日，那曲市</w:t>
      </w:r>
      <w:r>
        <w:rPr>
          <w:rFonts w:hint="eastAsia" w:ascii="仿宋" w:hAnsi="仿宋" w:eastAsia="仿宋"/>
          <w:sz w:val="32"/>
          <w:szCs w:val="32"/>
          <w:lang w:eastAsia="zh-CN"/>
        </w:rPr>
        <w:t>委宣传部共有</w:t>
      </w:r>
      <w:r>
        <w:rPr>
          <w:rFonts w:hint="eastAsia" w:ascii="仿宋" w:hAnsi="仿宋" w:eastAsia="仿宋"/>
          <w:sz w:val="32"/>
          <w:szCs w:val="32"/>
          <w:lang w:val="en-US" w:eastAsia="zh-CN"/>
        </w:rPr>
        <w:t>5</w:t>
      </w:r>
      <w:r>
        <w:rPr>
          <w:rFonts w:hint="eastAsia" w:ascii="仿宋" w:hAnsi="仿宋" w:eastAsia="仿宋"/>
          <w:sz w:val="32"/>
          <w:szCs w:val="32"/>
        </w:rPr>
        <w:t>辆，。其中：</w:t>
      </w:r>
      <w:r>
        <w:rPr>
          <w:rFonts w:hint="eastAsia" w:ascii="仿宋" w:hAnsi="仿宋" w:eastAsia="仿宋"/>
          <w:sz w:val="32"/>
          <w:szCs w:val="32"/>
          <w:lang w:eastAsia="zh-CN"/>
        </w:rPr>
        <w:t>越野车</w:t>
      </w:r>
      <w:r>
        <w:rPr>
          <w:rFonts w:hint="eastAsia" w:ascii="仿宋" w:hAnsi="仿宋" w:eastAsia="仿宋"/>
          <w:sz w:val="32"/>
          <w:szCs w:val="32"/>
          <w:lang w:val="en-US" w:eastAsia="zh-CN"/>
        </w:rPr>
        <w:t>3</w:t>
      </w:r>
      <w:r>
        <w:rPr>
          <w:rFonts w:hint="eastAsia" w:ascii="仿宋" w:hAnsi="仿宋" w:eastAsia="仿宋"/>
          <w:sz w:val="32"/>
          <w:szCs w:val="32"/>
        </w:rPr>
        <w:t xml:space="preserve"> 辆、</w:t>
      </w:r>
      <w:r>
        <w:rPr>
          <w:rFonts w:hint="eastAsia" w:ascii="仿宋" w:hAnsi="仿宋" w:eastAsia="仿宋"/>
          <w:sz w:val="32"/>
          <w:szCs w:val="32"/>
          <w:lang w:eastAsia="zh-CN"/>
        </w:rPr>
        <w:t>小型载客汽车</w:t>
      </w:r>
      <w:r>
        <w:rPr>
          <w:rFonts w:hint="eastAsia" w:ascii="仿宋" w:hAnsi="仿宋" w:eastAsia="仿宋"/>
          <w:sz w:val="32"/>
          <w:szCs w:val="32"/>
          <w:lang w:val="en-US" w:eastAsia="zh-CN"/>
        </w:rPr>
        <w:t>2辆。</w:t>
      </w:r>
    </w:p>
    <w:p>
      <w:pPr>
        <w:ind w:firstLine="640" w:firstLineChars="200"/>
        <w:jc w:val="left"/>
        <w:rPr>
          <w:rFonts w:ascii="黑体" w:hAnsi="宋体" w:eastAsia="黑体"/>
          <w:sz w:val="32"/>
          <w:szCs w:val="32"/>
        </w:rPr>
      </w:pPr>
      <w:r>
        <w:rPr>
          <w:rFonts w:hint="eastAsia" w:ascii="黑体" w:hAnsi="宋体" w:eastAsia="黑体"/>
          <w:sz w:val="32"/>
          <w:szCs w:val="32"/>
        </w:rPr>
        <w:t>（三）预算绩效情况</w:t>
      </w:r>
    </w:p>
    <w:p>
      <w:pPr>
        <w:ind w:firstLine="640" w:firstLineChars="200"/>
        <w:jc w:val="left"/>
        <w:rPr>
          <w:rFonts w:ascii="仿宋" w:hAnsi="仿宋" w:eastAsia="仿宋"/>
          <w:sz w:val="32"/>
          <w:szCs w:val="32"/>
        </w:rPr>
      </w:pPr>
      <w:r>
        <w:rPr>
          <w:rFonts w:hint="eastAsia" w:ascii="仿宋" w:hAnsi="仿宋" w:eastAsia="仿宋"/>
          <w:sz w:val="32"/>
          <w:szCs w:val="32"/>
        </w:rPr>
        <w:t>那曲市</w:t>
      </w:r>
      <w:r>
        <w:rPr>
          <w:rFonts w:hint="eastAsia" w:ascii="仿宋" w:hAnsi="仿宋" w:eastAsia="仿宋"/>
          <w:sz w:val="32"/>
          <w:szCs w:val="32"/>
          <w:lang w:eastAsia="zh-CN"/>
        </w:rPr>
        <w:t>委宣传部</w:t>
      </w:r>
      <w:r>
        <w:rPr>
          <w:rFonts w:hint="eastAsia" w:ascii="仿宋" w:hAnsi="仿宋" w:eastAsia="仿宋"/>
          <w:sz w:val="32"/>
          <w:szCs w:val="32"/>
        </w:rPr>
        <w:t>2018年度未实行预算绩效。</w:t>
      </w:r>
    </w:p>
    <w:p>
      <w:pPr>
        <w:ind w:firstLine="640" w:firstLineChars="200"/>
        <w:jc w:val="lef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ind w:firstLine="640" w:firstLineChars="200"/>
        <w:jc w:val="left"/>
        <w:rPr>
          <w:rFonts w:ascii="仿宋" w:hAnsi="仿宋" w:eastAsia="仿宋"/>
          <w:sz w:val="32"/>
          <w:szCs w:val="32"/>
        </w:rPr>
      </w:pPr>
    </w:p>
    <w:p>
      <w:pPr>
        <w:widowControl/>
        <w:jc w:val="left"/>
        <w:rPr>
          <w:rFonts w:ascii="黑体" w:hAnsi="宋体" w:eastAsia="黑体"/>
          <w:sz w:val="48"/>
          <w:szCs w:val="48"/>
        </w:rPr>
      </w:pPr>
    </w:p>
    <w:p>
      <w:pPr>
        <w:spacing w:line="460" w:lineRule="exact"/>
        <w:jc w:val="left"/>
        <w:rPr>
          <w:rFonts w:ascii="黑体" w:hAnsi="宋体" w:eastAsia="黑体"/>
          <w:sz w:val="48"/>
          <w:szCs w:val="48"/>
        </w:rPr>
      </w:pPr>
    </w:p>
    <w:p>
      <w:pPr>
        <w:spacing w:line="460" w:lineRule="exact"/>
        <w:jc w:val="left"/>
        <w:rPr>
          <w:rFonts w:ascii="黑体" w:hAnsi="宋体" w:eastAsia="黑体"/>
          <w:sz w:val="48"/>
          <w:szCs w:val="48"/>
        </w:rPr>
      </w:pPr>
    </w:p>
    <w:p>
      <w:pPr>
        <w:spacing w:line="460" w:lineRule="exact"/>
        <w:jc w:val="left"/>
        <w:rPr>
          <w:rFonts w:ascii="黑体" w:hAnsi="宋体" w:eastAsia="黑体"/>
          <w:sz w:val="48"/>
          <w:szCs w:val="48"/>
        </w:rPr>
      </w:pPr>
    </w:p>
    <w:p>
      <w:pPr>
        <w:spacing w:line="460" w:lineRule="exact"/>
        <w:jc w:val="left"/>
        <w:rPr>
          <w:rFonts w:ascii="黑体" w:hAnsi="宋体" w:eastAsia="黑体"/>
          <w:sz w:val="48"/>
          <w:szCs w:val="48"/>
        </w:rPr>
      </w:pPr>
    </w:p>
    <w:p>
      <w:pPr>
        <w:spacing w:line="460" w:lineRule="exact"/>
        <w:jc w:val="left"/>
        <w:rPr>
          <w:rFonts w:ascii="黑体" w:hAnsi="宋体" w:eastAsia="黑体"/>
          <w:sz w:val="48"/>
          <w:szCs w:val="48"/>
        </w:rPr>
      </w:pPr>
    </w:p>
    <w:p>
      <w:pPr>
        <w:spacing w:line="460" w:lineRule="exact"/>
        <w:jc w:val="left"/>
        <w:rPr>
          <w:rFonts w:ascii="黑体" w:hAnsi="宋体" w:eastAsia="黑体"/>
          <w:sz w:val="48"/>
          <w:szCs w:val="48"/>
        </w:rPr>
      </w:pPr>
    </w:p>
    <w:p>
      <w:pPr>
        <w:spacing w:line="460" w:lineRule="exact"/>
        <w:jc w:val="left"/>
        <w:rPr>
          <w:rFonts w:ascii="黑体" w:hAnsi="宋体" w:eastAsia="黑体"/>
          <w:sz w:val="48"/>
          <w:szCs w:val="48"/>
        </w:rPr>
      </w:pPr>
    </w:p>
    <w:p>
      <w:pPr>
        <w:spacing w:line="460" w:lineRule="exact"/>
        <w:jc w:val="left"/>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第四部分</w:t>
      </w:r>
    </w:p>
    <w:p>
      <w:pPr>
        <w:spacing w:line="460" w:lineRule="exact"/>
        <w:jc w:val="center"/>
        <w:rPr>
          <w:rFonts w:ascii="黑体" w:hAnsi="宋体" w:eastAsia="黑体"/>
          <w:sz w:val="48"/>
          <w:szCs w:val="48"/>
        </w:rPr>
      </w:pPr>
    </w:p>
    <w:p>
      <w:pPr>
        <w:spacing w:line="460" w:lineRule="exact"/>
        <w:jc w:val="center"/>
        <w:rPr>
          <w:rFonts w:ascii="黑体" w:eastAsia="黑体"/>
          <w:sz w:val="32"/>
          <w:szCs w:val="32"/>
        </w:rPr>
      </w:pPr>
      <w:r>
        <w:rPr>
          <w:rFonts w:hint="eastAsia" w:ascii="黑体" w:hAnsi="宋体" w:eastAsia="黑体"/>
          <w:sz w:val="48"/>
          <w:szCs w:val="48"/>
        </w:rPr>
        <w:t>名词解释</w:t>
      </w:r>
    </w:p>
    <w:p>
      <w:pPr>
        <w:spacing w:line="460" w:lineRule="exact"/>
        <w:jc w:val="left"/>
        <w:rPr>
          <w:rFonts w:ascii="宋体" w:hAnsi="宋体" w:cs="宋体"/>
          <w:b/>
          <w:bCs/>
          <w:color w:val="000000"/>
          <w:kern w:val="0"/>
          <w:sz w:val="28"/>
          <w:szCs w:val="28"/>
        </w:rPr>
      </w:pPr>
    </w:p>
    <w:p>
      <w:pPr>
        <w:widowControl/>
        <w:jc w:val="left"/>
        <w:rPr>
          <w:rFonts w:ascii="黑体" w:eastAsia="黑体"/>
          <w:sz w:val="32"/>
          <w:szCs w:val="32"/>
        </w:rPr>
      </w:pPr>
      <w:r>
        <w:rPr>
          <w:rFonts w:ascii="黑体" w:eastAsia="黑体"/>
          <w:sz w:val="32"/>
          <w:szCs w:val="32"/>
        </w:rPr>
        <w:br w:type="page"/>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一般公共预算拨款收入：指市财政当年拨付的资金。</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事业收入：指事业单位开展专业业务活动及辅助活动所取得的收入。那曲市疾控中心无此收入。</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事业单位经营收入：指事业单位在专业业务活动及其辅助活动之外开展非独立核算经营活动取得的收入。那曲市疾控中心无此收入。</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其他收入：指除上述“一般公共预算拨款收入”、“事业收入”、“事业单位经营收入”等以外的收入。那曲市</w:t>
      </w:r>
      <w:r>
        <w:rPr>
          <w:rFonts w:hint="eastAsia" w:ascii="仿宋_GB2312" w:eastAsia="仿宋_GB2312" w:cs="仿宋"/>
          <w:kern w:val="0"/>
          <w:sz w:val="32"/>
          <w:szCs w:val="32"/>
          <w:lang w:eastAsia="zh-CN"/>
        </w:rPr>
        <w:t>委宣传部</w:t>
      </w:r>
      <w:r>
        <w:rPr>
          <w:rFonts w:hint="eastAsia" w:ascii="仿宋_GB2312" w:eastAsia="仿宋_GB2312" w:cs="仿宋"/>
          <w:kern w:val="0"/>
          <w:sz w:val="32"/>
          <w:szCs w:val="32"/>
        </w:rPr>
        <w:t>无此收入。</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社会保障和就业（类）行政事业单位离退休（款）归口管理的行政单位离退休（项）：指那曲市</w:t>
      </w:r>
      <w:r>
        <w:rPr>
          <w:rFonts w:hint="eastAsia" w:ascii="仿宋_GB2312" w:eastAsia="仿宋_GB2312" w:cs="仿宋"/>
          <w:kern w:val="0"/>
          <w:sz w:val="32"/>
          <w:szCs w:val="32"/>
          <w:lang w:eastAsia="zh-CN"/>
        </w:rPr>
        <w:t>委宣传部</w:t>
      </w:r>
      <w:r>
        <w:rPr>
          <w:rFonts w:hint="eastAsia" w:ascii="仿宋_GB2312" w:eastAsia="仿宋_GB2312" w:cs="仿宋"/>
          <w:kern w:val="0"/>
          <w:sz w:val="32"/>
          <w:szCs w:val="32"/>
        </w:rPr>
        <w:t>离退休人员的支出。</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住房保障（类）住房改革支出（款）住房公积金（项）：指按照《住房公积金管理条例》的规定，由单位及其在职职工缴存的长期住房储金。那曲市</w:t>
      </w:r>
      <w:r>
        <w:rPr>
          <w:rFonts w:hint="eastAsia" w:ascii="仿宋_GB2312" w:eastAsia="仿宋_GB2312" w:cs="仿宋"/>
          <w:kern w:val="0"/>
          <w:sz w:val="32"/>
          <w:szCs w:val="32"/>
          <w:lang w:eastAsia="zh-CN"/>
        </w:rPr>
        <w:t>委宣传部</w:t>
      </w:r>
      <w:r>
        <w:rPr>
          <w:rFonts w:hint="eastAsia" w:ascii="仿宋_GB2312" w:eastAsia="仿宋_GB2312" w:cs="仿宋"/>
          <w:kern w:val="0"/>
          <w:sz w:val="32"/>
          <w:szCs w:val="32"/>
        </w:rPr>
        <w:t>作为全额拨款事业单位，缴存比例为12%，缴存基数为职工本人上上年工资，包括国家统一规定的岗位工资、薪级工资、西藏特殊津贴、艰苦边远地区津贴、高海拔工龄津贴等。</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医疗卫生与计划生育支出（类）公共卫生（款）疾病预防控制机构（项）:指那曲市</w:t>
      </w:r>
      <w:r>
        <w:rPr>
          <w:rFonts w:hint="eastAsia" w:ascii="仿宋_GB2312" w:eastAsia="仿宋_GB2312" w:cs="仿宋"/>
          <w:kern w:val="0"/>
          <w:sz w:val="32"/>
          <w:szCs w:val="32"/>
          <w:lang w:eastAsia="zh-CN"/>
        </w:rPr>
        <w:t>委宣传部</w:t>
      </w:r>
      <w:r>
        <w:rPr>
          <w:rFonts w:hint="eastAsia" w:ascii="仿宋_GB2312" w:eastAsia="仿宋_GB2312" w:cs="仿宋"/>
          <w:kern w:val="0"/>
          <w:sz w:val="32"/>
          <w:szCs w:val="32"/>
        </w:rPr>
        <w:t>基本工作开展方面的支出，包括基本支出和项目支出。</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基本支出：指为保障机构正常运转、完成日常工作任务而发生的人员支出和公用支出。</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项目支出：指在基本支出之外为完成特定行政任务和事业发展目标所发生的支出。那曲市</w:t>
      </w:r>
      <w:r>
        <w:rPr>
          <w:rFonts w:hint="eastAsia" w:ascii="仿宋_GB2312" w:eastAsia="仿宋_GB2312" w:cs="仿宋"/>
          <w:kern w:val="0"/>
          <w:sz w:val="32"/>
          <w:szCs w:val="32"/>
          <w:lang w:eastAsia="zh-CN"/>
        </w:rPr>
        <w:t>委宣传部</w:t>
      </w:r>
      <w:r>
        <w:rPr>
          <w:rFonts w:hint="eastAsia" w:ascii="仿宋_GB2312" w:eastAsia="仿宋_GB2312" w:cs="仿宋"/>
          <w:kern w:val="0"/>
          <w:sz w:val="32"/>
          <w:szCs w:val="32"/>
        </w:rPr>
        <w:t>无此支出。</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hAnsi="宋体" w:eastAsia="仿宋_GB2312" w:cs="宋体"/>
          <w:sz w:val="32"/>
          <w:szCs w:val="32"/>
        </w:rPr>
        <w:t>行政单位医疗：指财政集中安排的行政单位医疗保险缴费经费。</w:t>
      </w:r>
    </w:p>
    <w:p>
      <w:pPr>
        <w:pStyle w:val="13"/>
        <w:numPr>
          <w:ilvl w:val="0"/>
          <w:numId w:val="3"/>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三公”经费：纳入市财政预决算管理的“三公”经费，是指那曲市疾控中心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sectPr>
      <w:pgSz w:w="11906" w:h="16838"/>
      <w:pgMar w:top="1418" w:right="907" w:bottom="907"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80E0000" w:usb2="00000010" w:usb3="00000000" w:csb0="00040000" w:csb1="00000000"/>
  </w:font>
  <w:font w:name="方正楷体简体">
    <w:altName w:val="楷体_GB2312"/>
    <w:panose1 w:val="00000000000000000000"/>
    <w:charset w:val="86"/>
    <w:family w:val="auto"/>
    <w:pitch w:val="default"/>
    <w:sig w:usb0="00000000"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1</w:t>
    </w:r>
    <w:r>
      <w:rPr>
        <w:rStyle w:val="9"/>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8095883">
    <w:nsid w:val="5B14E48B"/>
    <w:multiLevelType w:val="singleLevel"/>
    <w:tmpl w:val="5B14E48B"/>
    <w:lvl w:ilvl="0" w:tentative="1">
      <w:start w:val="1"/>
      <w:numFmt w:val="chineseCounting"/>
      <w:suff w:val="nothing"/>
      <w:lvlText w:val="%1、"/>
      <w:lvlJc w:val="left"/>
    </w:lvl>
  </w:abstractNum>
  <w:abstractNum w:abstractNumId="1528082808">
    <w:nsid w:val="5B14B178"/>
    <w:multiLevelType w:val="singleLevel"/>
    <w:tmpl w:val="5B14B178"/>
    <w:lvl w:ilvl="0" w:tentative="1">
      <w:start w:val="2"/>
      <w:numFmt w:val="chineseCounting"/>
      <w:suff w:val="nothing"/>
      <w:lvlText w:val="（%1)"/>
      <w:lvlJc w:val="left"/>
    </w:lvl>
  </w:abstractNum>
  <w:abstractNum w:abstractNumId="1140726689">
    <w:nsid w:val="43FE1BA1"/>
    <w:multiLevelType w:val="multilevel"/>
    <w:tmpl w:val="43FE1BA1"/>
    <w:lvl w:ilvl="0" w:tentative="1">
      <w:start w:val="1"/>
      <w:numFmt w:val="japaneseCounting"/>
      <w:lvlText w:val="（%1）"/>
      <w:lvlJc w:val="left"/>
      <w:pPr>
        <w:ind w:left="2073"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528095883"/>
  </w:num>
  <w:num w:numId="2">
    <w:abstractNumId w:val="1528082808"/>
  </w:num>
  <w:num w:numId="3">
    <w:abstractNumId w:val="11407266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026E0"/>
    <w:rsid w:val="00000A9B"/>
    <w:rsid w:val="00000EDB"/>
    <w:rsid w:val="00000F6C"/>
    <w:rsid w:val="00001BB3"/>
    <w:rsid w:val="00005BCF"/>
    <w:rsid w:val="000064B6"/>
    <w:rsid w:val="0000666C"/>
    <w:rsid w:val="00012974"/>
    <w:rsid w:val="00013C37"/>
    <w:rsid w:val="00015342"/>
    <w:rsid w:val="00015F4D"/>
    <w:rsid w:val="000348B8"/>
    <w:rsid w:val="000370DC"/>
    <w:rsid w:val="00037BE3"/>
    <w:rsid w:val="00041120"/>
    <w:rsid w:val="00042632"/>
    <w:rsid w:val="00043BD0"/>
    <w:rsid w:val="00044A1F"/>
    <w:rsid w:val="00070A0E"/>
    <w:rsid w:val="0007736D"/>
    <w:rsid w:val="0009277E"/>
    <w:rsid w:val="000A0A9E"/>
    <w:rsid w:val="000A0C30"/>
    <w:rsid w:val="000A192B"/>
    <w:rsid w:val="000A3238"/>
    <w:rsid w:val="000A60CD"/>
    <w:rsid w:val="000A79B6"/>
    <w:rsid w:val="000B1B29"/>
    <w:rsid w:val="000B45A9"/>
    <w:rsid w:val="000C282E"/>
    <w:rsid w:val="000C3248"/>
    <w:rsid w:val="000C43F9"/>
    <w:rsid w:val="000C6C13"/>
    <w:rsid w:val="000D20C2"/>
    <w:rsid w:val="000D4C3E"/>
    <w:rsid w:val="000D6154"/>
    <w:rsid w:val="000D65E8"/>
    <w:rsid w:val="000E231B"/>
    <w:rsid w:val="000E2EDA"/>
    <w:rsid w:val="000F2404"/>
    <w:rsid w:val="001026E0"/>
    <w:rsid w:val="00102B0E"/>
    <w:rsid w:val="001132A9"/>
    <w:rsid w:val="001170BB"/>
    <w:rsid w:val="00124CE8"/>
    <w:rsid w:val="001251FE"/>
    <w:rsid w:val="001252E5"/>
    <w:rsid w:val="001337DD"/>
    <w:rsid w:val="0014264E"/>
    <w:rsid w:val="00142F67"/>
    <w:rsid w:val="00151DFA"/>
    <w:rsid w:val="001520CC"/>
    <w:rsid w:val="001549E6"/>
    <w:rsid w:val="001566F8"/>
    <w:rsid w:val="0017073B"/>
    <w:rsid w:val="0017102B"/>
    <w:rsid w:val="00172075"/>
    <w:rsid w:val="00175480"/>
    <w:rsid w:val="00185BD5"/>
    <w:rsid w:val="001871A9"/>
    <w:rsid w:val="00187C98"/>
    <w:rsid w:val="0019333F"/>
    <w:rsid w:val="00193FEF"/>
    <w:rsid w:val="00194610"/>
    <w:rsid w:val="001A5518"/>
    <w:rsid w:val="001A70D7"/>
    <w:rsid w:val="001A7B4D"/>
    <w:rsid w:val="001B1B7B"/>
    <w:rsid w:val="001B4065"/>
    <w:rsid w:val="001B767B"/>
    <w:rsid w:val="001C0178"/>
    <w:rsid w:val="001C385C"/>
    <w:rsid w:val="001C67CF"/>
    <w:rsid w:val="001D46E5"/>
    <w:rsid w:val="001D49EE"/>
    <w:rsid w:val="001D660B"/>
    <w:rsid w:val="001D73BD"/>
    <w:rsid w:val="001E3BFC"/>
    <w:rsid w:val="001E6D89"/>
    <w:rsid w:val="001F37C5"/>
    <w:rsid w:val="001F47BD"/>
    <w:rsid w:val="001F652F"/>
    <w:rsid w:val="001F65AF"/>
    <w:rsid w:val="001F681E"/>
    <w:rsid w:val="001F71D2"/>
    <w:rsid w:val="00202E30"/>
    <w:rsid w:val="0021333D"/>
    <w:rsid w:val="00215B43"/>
    <w:rsid w:val="00215EC4"/>
    <w:rsid w:val="00220B54"/>
    <w:rsid w:val="002240B5"/>
    <w:rsid w:val="002262B6"/>
    <w:rsid w:val="002263A9"/>
    <w:rsid w:val="002273C8"/>
    <w:rsid w:val="00234E67"/>
    <w:rsid w:val="00235F5D"/>
    <w:rsid w:val="00237AB2"/>
    <w:rsid w:val="00237C88"/>
    <w:rsid w:val="00240438"/>
    <w:rsid w:val="002420A3"/>
    <w:rsid w:val="00247AB6"/>
    <w:rsid w:val="002525E9"/>
    <w:rsid w:val="00253C37"/>
    <w:rsid w:val="00273900"/>
    <w:rsid w:val="00285BB0"/>
    <w:rsid w:val="0029059A"/>
    <w:rsid w:val="002934AF"/>
    <w:rsid w:val="00295D05"/>
    <w:rsid w:val="002A00F7"/>
    <w:rsid w:val="002A3954"/>
    <w:rsid w:val="002B0184"/>
    <w:rsid w:val="002C7AC2"/>
    <w:rsid w:val="002D6813"/>
    <w:rsid w:val="002D6EF9"/>
    <w:rsid w:val="002E229B"/>
    <w:rsid w:val="002E403D"/>
    <w:rsid w:val="002F0002"/>
    <w:rsid w:val="002F4437"/>
    <w:rsid w:val="002F47BA"/>
    <w:rsid w:val="00305367"/>
    <w:rsid w:val="0030679E"/>
    <w:rsid w:val="003079EB"/>
    <w:rsid w:val="00312F8D"/>
    <w:rsid w:val="0031669D"/>
    <w:rsid w:val="00316AC5"/>
    <w:rsid w:val="003173B5"/>
    <w:rsid w:val="00322768"/>
    <w:rsid w:val="00323CD0"/>
    <w:rsid w:val="003359CD"/>
    <w:rsid w:val="00336582"/>
    <w:rsid w:val="00340D49"/>
    <w:rsid w:val="00344BE5"/>
    <w:rsid w:val="0035015A"/>
    <w:rsid w:val="00353909"/>
    <w:rsid w:val="0035477C"/>
    <w:rsid w:val="00354A37"/>
    <w:rsid w:val="00354F73"/>
    <w:rsid w:val="003568CC"/>
    <w:rsid w:val="00371241"/>
    <w:rsid w:val="00374846"/>
    <w:rsid w:val="00376D13"/>
    <w:rsid w:val="003771ED"/>
    <w:rsid w:val="0039576F"/>
    <w:rsid w:val="003A328F"/>
    <w:rsid w:val="003A409E"/>
    <w:rsid w:val="003B12A0"/>
    <w:rsid w:val="003B737F"/>
    <w:rsid w:val="003C15F0"/>
    <w:rsid w:val="003C37CA"/>
    <w:rsid w:val="003C6002"/>
    <w:rsid w:val="003E113F"/>
    <w:rsid w:val="003E11CF"/>
    <w:rsid w:val="003F1CC7"/>
    <w:rsid w:val="003F54E4"/>
    <w:rsid w:val="00400240"/>
    <w:rsid w:val="00404324"/>
    <w:rsid w:val="00406674"/>
    <w:rsid w:val="004079B5"/>
    <w:rsid w:val="00407FCD"/>
    <w:rsid w:val="004177D0"/>
    <w:rsid w:val="00424873"/>
    <w:rsid w:val="00427770"/>
    <w:rsid w:val="00430C57"/>
    <w:rsid w:val="00434C39"/>
    <w:rsid w:val="004401A5"/>
    <w:rsid w:val="00446D4A"/>
    <w:rsid w:val="004521D5"/>
    <w:rsid w:val="004539FE"/>
    <w:rsid w:val="00455406"/>
    <w:rsid w:val="00457EA9"/>
    <w:rsid w:val="00463366"/>
    <w:rsid w:val="00473415"/>
    <w:rsid w:val="0048190F"/>
    <w:rsid w:val="00483DD6"/>
    <w:rsid w:val="0049276B"/>
    <w:rsid w:val="00492F9D"/>
    <w:rsid w:val="0049330E"/>
    <w:rsid w:val="00493E00"/>
    <w:rsid w:val="00494650"/>
    <w:rsid w:val="00496BCA"/>
    <w:rsid w:val="004B003D"/>
    <w:rsid w:val="004B1224"/>
    <w:rsid w:val="004B3524"/>
    <w:rsid w:val="004B3FAA"/>
    <w:rsid w:val="004B4CE2"/>
    <w:rsid w:val="004B7A0B"/>
    <w:rsid w:val="004C1266"/>
    <w:rsid w:val="004C210D"/>
    <w:rsid w:val="004C4F59"/>
    <w:rsid w:val="004C59E0"/>
    <w:rsid w:val="004C6447"/>
    <w:rsid w:val="004C6EEC"/>
    <w:rsid w:val="004D2F2A"/>
    <w:rsid w:val="004D5739"/>
    <w:rsid w:val="004D7EC3"/>
    <w:rsid w:val="004E0153"/>
    <w:rsid w:val="004E0DB2"/>
    <w:rsid w:val="004E1B2E"/>
    <w:rsid w:val="004E310E"/>
    <w:rsid w:val="004E41D6"/>
    <w:rsid w:val="00501190"/>
    <w:rsid w:val="00511325"/>
    <w:rsid w:val="0051560E"/>
    <w:rsid w:val="0052615B"/>
    <w:rsid w:val="00534A7C"/>
    <w:rsid w:val="00543037"/>
    <w:rsid w:val="00544157"/>
    <w:rsid w:val="005468A0"/>
    <w:rsid w:val="0055534D"/>
    <w:rsid w:val="00564459"/>
    <w:rsid w:val="00570B6C"/>
    <w:rsid w:val="00574634"/>
    <w:rsid w:val="00574E68"/>
    <w:rsid w:val="0057795E"/>
    <w:rsid w:val="005A03DC"/>
    <w:rsid w:val="005A04FF"/>
    <w:rsid w:val="005A33ED"/>
    <w:rsid w:val="005A4B7E"/>
    <w:rsid w:val="005A60E8"/>
    <w:rsid w:val="005A6770"/>
    <w:rsid w:val="005B5FE7"/>
    <w:rsid w:val="005B6BEC"/>
    <w:rsid w:val="005B74BB"/>
    <w:rsid w:val="005C10E0"/>
    <w:rsid w:val="005C40E5"/>
    <w:rsid w:val="005C4615"/>
    <w:rsid w:val="005C6149"/>
    <w:rsid w:val="005D5FEF"/>
    <w:rsid w:val="005E008A"/>
    <w:rsid w:val="005E1089"/>
    <w:rsid w:val="005E35D0"/>
    <w:rsid w:val="005E76A6"/>
    <w:rsid w:val="005F4D13"/>
    <w:rsid w:val="00603671"/>
    <w:rsid w:val="0060546C"/>
    <w:rsid w:val="0060590B"/>
    <w:rsid w:val="00605E1E"/>
    <w:rsid w:val="00611519"/>
    <w:rsid w:val="00611BBB"/>
    <w:rsid w:val="0061749B"/>
    <w:rsid w:val="006211FC"/>
    <w:rsid w:val="006275BE"/>
    <w:rsid w:val="0063162F"/>
    <w:rsid w:val="00633690"/>
    <w:rsid w:val="00645BC3"/>
    <w:rsid w:val="006509C3"/>
    <w:rsid w:val="00651CCF"/>
    <w:rsid w:val="0066199A"/>
    <w:rsid w:val="00662321"/>
    <w:rsid w:val="006647E0"/>
    <w:rsid w:val="00670208"/>
    <w:rsid w:val="00675C84"/>
    <w:rsid w:val="0068314F"/>
    <w:rsid w:val="00683AD7"/>
    <w:rsid w:val="00687D70"/>
    <w:rsid w:val="00697DD8"/>
    <w:rsid w:val="006A1673"/>
    <w:rsid w:val="006A5E9E"/>
    <w:rsid w:val="006B19AE"/>
    <w:rsid w:val="006B5008"/>
    <w:rsid w:val="006C245B"/>
    <w:rsid w:val="006C569D"/>
    <w:rsid w:val="006C6008"/>
    <w:rsid w:val="006C63EC"/>
    <w:rsid w:val="006C7173"/>
    <w:rsid w:val="006E6B42"/>
    <w:rsid w:val="006F0213"/>
    <w:rsid w:val="006F73F9"/>
    <w:rsid w:val="006F7C26"/>
    <w:rsid w:val="00702EE2"/>
    <w:rsid w:val="00710AD7"/>
    <w:rsid w:val="00717065"/>
    <w:rsid w:val="007201CB"/>
    <w:rsid w:val="00722EC0"/>
    <w:rsid w:val="00723A95"/>
    <w:rsid w:val="00724C7B"/>
    <w:rsid w:val="00726265"/>
    <w:rsid w:val="00732B06"/>
    <w:rsid w:val="00735AE3"/>
    <w:rsid w:val="00747111"/>
    <w:rsid w:val="00747CEF"/>
    <w:rsid w:val="007520E7"/>
    <w:rsid w:val="0075403D"/>
    <w:rsid w:val="00755E95"/>
    <w:rsid w:val="00763314"/>
    <w:rsid w:val="00764C16"/>
    <w:rsid w:val="00771169"/>
    <w:rsid w:val="00771A16"/>
    <w:rsid w:val="0078660B"/>
    <w:rsid w:val="00787B3B"/>
    <w:rsid w:val="00787B6B"/>
    <w:rsid w:val="00791121"/>
    <w:rsid w:val="007940DC"/>
    <w:rsid w:val="007A06B5"/>
    <w:rsid w:val="007A0843"/>
    <w:rsid w:val="007A49C3"/>
    <w:rsid w:val="007A647B"/>
    <w:rsid w:val="007A7BB5"/>
    <w:rsid w:val="007B055E"/>
    <w:rsid w:val="007C15B7"/>
    <w:rsid w:val="007C1F04"/>
    <w:rsid w:val="007C456D"/>
    <w:rsid w:val="007C5A93"/>
    <w:rsid w:val="007C76E2"/>
    <w:rsid w:val="007D01EE"/>
    <w:rsid w:val="007D55B1"/>
    <w:rsid w:val="007D65BE"/>
    <w:rsid w:val="007E22B6"/>
    <w:rsid w:val="007F2636"/>
    <w:rsid w:val="007F73DD"/>
    <w:rsid w:val="008026B4"/>
    <w:rsid w:val="00803C97"/>
    <w:rsid w:val="00804BB7"/>
    <w:rsid w:val="0080588D"/>
    <w:rsid w:val="0080667E"/>
    <w:rsid w:val="008069A8"/>
    <w:rsid w:val="00806D27"/>
    <w:rsid w:val="008131FD"/>
    <w:rsid w:val="008157A5"/>
    <w:rsid w:val="00815858"/>
    <w:rsid w:val="00817218"/>
    <w:rsid w:val="00820681"/>
    <w:rsid w:val="00825BE5"/>
    <w:rsid w:val="00827238"/>
    <w:rsid w:val="0083170F"/>
    <w:rsid w:val="008366DE"/>
    <w:rsid w:val="00840210"/>
    <w:rsid w:val="00846054"/>
    <w:rsid w:val="00854E0F"/>
    <w:rsid w:val="00854E20"/>
    <w:rsid w:val="00855772"/>
    <w:rsid w:val="00856BBB"/>
    <w:rsid w:val="0086333C"/>
    <w:rsid w:val="00864CD9"/>
    <w:rsid w:val="0086784E"/>
    <w:rsid w:val="00867C17"/>
    <w:rsid w:val="00873545"/>
    <w:rsid w:val="008744C8"/>
    <w:rsid w:val="008750C0"/>
    <w:rsid w:val="00882707"/>
    <w:rsid w:val="00882930"/>
    <w:rsid w:val="00883FBC"/>
    <w:rsid w:val="00885B2D"/>
    <w:rsid w:val="0088732D"/>
    <w:rsid w:val="00891A65"/>
    <w:rsid w:val="00894AD1"/>
    <w:rsid w:val="008A06F2"/>
    <w:rsid w:val="008B6930"/>
    <w:rsid w:val="008C1C35"/>
    <w:rsid w:val="008C4BF3"/>
    <w:rsid w:val="008C61C6"/>
    <w:rsid w:val="008D2508"/>
    <w:rsid w:val="008D63C0"/>
    <w:rsid w:val="008E45F4"/>
    <w:rsid w:val="008F0FFC"/>
    <w:rsid w:val="008F2D6A"/>
    <w:rsid w:val="00902033"/>
    <w:rsid w:val="00902AF7"/>
    <w:rsid w:val="00912399"/>
    <w:rsid w:val="00916092"/>
    <w:rsid w:val="00916249"/>
    <w:rsid w:val="0093086A"/>
    <w:rsid w:val="00943B80"/>
    <w:rsid w:val="0094709C"/>
    <w:rsid w:val="00952777"/>
    <w:rsid w:val="00952DF0"/>
    <w:rsid w:val="00953418"/>
    <w:rsid w:val="00955C3B"/>
    <w:rsid w:val="0095707E"/>
    <w:rsid w:val="00977DCC"/>
    <w:rsid w:val="00980D17"/>
    <w:rsid w:val="009835B9"/>
    <w:rsid w:val="00984D7E"/>
    <w:rsid w:val="009853D9"/>
    <w:rsid w:val="009934E3"/>
    <w:rsid w:val="00997F6A"/>
    <w:rsid w:val="009A10B7"/>
    <w:rsid w:val="009A1539"/>
    <w:rsid w:val="009C01F0"/>
    <w:rsid w:val="009C33EF"/>
    <w:rsid w:val="009C6035"/>
    <w:rsid w:val="009D1A24"/>
    <w:rsid w:val="009D4215"/>
    <w:rsid w:val="009D7608"/>
    <w:rsid w:val="009F0B70"/>
    <w:rsid w:val="009F4044"/>
    <w:rsid w:val="009F4BBE"/>
    <w:rsid w:val="009F6F84"/>
    <w:rsid w:val="00A00F7F"/>
    <w:rsid w:val="00A0325C"/>
    <w:rsid w:val="00A0573E"/>
    <w:rsid w:val="00A12B81"/>
    <w:rsid w:val="00A15D00"/>
    <w:rsid w:val="00A1641F"/>
    <w:rsid w:val="00A16719"/>
    <w:rsid w:val="00A31616"/>
    <w:rsid w:val="00A322E4"/>
    <w:rsid w:val="00A36BAB"/>
    <w:rsid w:val="00A42A72"/>
    <w:rsid w:val="00A42D97"/>
    <w:rsid w:val="00A50FB4"/>
    <w:rsid w:val="00A5423B"/>
    <w:rsid w:val="00A60388"/>
    <w:rsid w:val="00A731F8"/>
    <w:rsid w:val="00A75146"/>
    <w:rsid w:val="00A817CC"/>
    <w:rsid w:val="00A82216"/>
    <w:rsid w:val="00A8277E"/>
    <w:rsid w:val="00A839A1"/>
    <w:rsid w:val="00A83E50"/>
    <w:rsid w:val="00A84483"/>
    <w:rsid w:val="00A91140"/>
    <w:rsid w:val="00A9298E"/>
    <w:rsid w:val="00A94DA8"/>
    <w:rsid w:val="00A960F6"/>
    <w:rsid w:val="00AB223F"/>
    <w:rsid w:val="00AC06CE"/>
    <w:rsid w:val="00AD58A5"/>
    <w:rsid w:val="00AE56DF"/>
    <w:rsid w:val="00AF617F"/>
    <w:rsid w:val="00AF702E"/>
    <w:rsid w:val="00B16F04"/>
    <w:rsid w:val="00B24B71"/>
    <w:rsid w:val="00B252E9"/>
    <w:rsid w:val="00B330AA"/>
    <w:rsid w:val="00B35DF8"/>
    <w:rsid w:val="00B456F7"/>
    <w:rsid w:val="00B55C32"/>
    <w:rsid w:val="00B61C08"/>
    <w:rsid w:val="00B6329D"/>
    <w:rsid w:val="00B71D11"/>
    <w:rsid w:val="00B83AD3"/>
    <w:rsid w:val="00B853BC"/>
    <w:rsid w:val="00B93272"/>
    <w:rsid w:val="00BA1EC4"/>
    <w:rsid w:val="00BA2282"/>
    <w:rsid w:val="00BA2AAE"/>
    <w:rsid w:val="00BA40D8"/>
    <w:rsid w:val="00BB3820"/>
    <w:rsid w:val="00BC1E99"/>
    <w:rsid w:val="00BC70AF"/>
    <w:rsid w:val="00BD2609"/>
    <w:rsid w:val="00BE2860"/>
    <w:rsid w:val="00BE5BA0"/>
    <w:rsid w:val="00BE5DCE"/>
    <w:rsid w:val="00BF067B"/>
    <w:rsid w:val="00BF5087"/>
    <w:rsid w:val="00BF564A"/>
    <w:rsid w:val="00C0374B"/>
    <w:rsid w:val="00C04035"/>
    <w:rsid w:val="00C04C26"/>
    <w:rsid w:val="00C0787C"/>
    <w:rsid w:val="00C16FD2"/>
    <w:rsid w:val="00C2188C"/>
    <w:rsid w:val="00C2233E"/>
    <w:rsid w:val="00C23E87"/>
    <w:rsid w:val="00C33398"/>
    <w:rsid w:val="00C36A66"/>
    <w:rsid w:val="00C4475D"/>
    <w:rsid w:val="00C5078B"/>
    <w:rsid w:val="00C546CF"/>
    <w:rsid w:val="00C57D2E"/>
    <w:rsid w:val="00C630F5"/>
    <w:rsid w:val="00C65B20"/>
    <w:rsid w:val="00C673A5"/>
    <w:rsid w:val="00C7134B"/>
    <w:rsid w:val="00C72ECF"/>
    <w:rsid w:val="00C74056"/>
    <w:rsid w:val="00C751B6"/>
    <w:rsid w:val="00C90E84"/>
    <w:rsid w:val="00C92A82"/>
    <w:rsid w:val="00C93485"/>
    <w:rsid w:val="00C93F0D"/>
    <w:rsid w:val="00C93FBC"/>
    <w:rsid w:val="00CA01F9"/>
    <w:rsid w:val="00CA0863"/>
    <w:rsid w:val="00CA21CB"/>
    <w:rsid w:val="00CA495D"/>
    <w:rsid w:val="00CA5522"/>
    <w:rsid w:val="00CB7E89"/>
    <w:rsid w:val="00CC1636"/>
    <w:rsid w:val="00CC17C4"/>
    <w:rsid w:val="00CC1EE4"/>
    <w:rsid w:val="00CC6057"/>
    <w:rsid w:val="00CD4E44"/>
    <w:rsid w:val="00CE01C9"/>
    <w:rsid w:val="00CE26C6"/>
    <w:rsid w:val="00CE3DBD"/>
    <w:rsid w:val="00CE5C16"/>
    <w:rsid w:val="00CE6A3B"/>
    <w:rsid w:val="00CF2753"/>
    <w:rsid w:val="00CF4B0E"/>
    <w:rsid w:val="00CF4FEB"/>
    <w:rsid w:val="00CF5B78"/>
    <w:rsid w:val="00D03C82"/>
    <w:rsid w:val="00D16C52"/>
    <w:rsid w:val="00D2411D"/>
    <w:rsid w:val="00D27759"/>
    <w:rsid w:val="00D3160D"/>
    <w:rsid w:val="00D369EB"/>
    <w:rsid w:val="00D36D44"/>
    <w:rsid w:val="00D43317"/>
    <w:rsid w:val="00D57126"/>
    <w:rsid w:val="00D57776"/>
    <w:rsid w:val="00D6368F"/>
    <w:rsid w:val="00D70A56"/>
    <w:rsid w:val="00D70C01"/>
    <w:rsid w:val="00D718F4"/>
    <w:rsid w:val="00D722DE"/>
    <w:rsid w:val="00D76C6E"/>
    <w:rsid w:val="00D77967"/>
    <w:rsid w:val="00D80F51"/>
    <w:rsid w:val="00D81EDD"/>
    <w:rsid w:val="00D83AFA"/>
    <w:rsid w:val="00D85304"/>
    <w:rsid w:val="00D91891"/>
    <w:rsid w:val="00D925C8"/>
    <w:rsid w:val="00DA0C82"/>
    <w:rsid w:val="00DA6088"/>
    <w:rsid w:val="00DA78D4"/>
    <w:rsid w:val="00DB2CB8"/>
    <w:rsid w:val="00DB3245"/>
    <w:rsid w:val="00DC50F0"/>
    <w:rsid w:val="00DD5103"/>
    <w:rsid w:val="00DE02BF"/>
    <w:rsid w:val="00DE2253"/>
    <w:rsid w:val="00DE268F"/>
    <w:rsid w:val="00DF036B"/>
    <w:rsid w:val="00DF5B02"/>
    <w:rsid w:val="00E017A9"/>
    <w:rsid w:val="00E07B64"/>
    <w:rsid w:val="00E10E83"/>
    <w:rsid w:val="00E13F71"/>
    <w:rsid w:val="00E146B4"/>
    <w:rsid w:val="00E23026"/>
    <w:rsid w:val="00E235E1"/>
    <w:rsid w:val="00E26C30"/>
    <w:rsid w:val="00E44184"/>
    <w:rsid w:val="00E55046"/>
    <w:rsid w:val="00E551FA"/>
    <w:rsid w:val="00E70266"/>
    <w:rsid w:val="00E73B7F"/>
    <w:rsid w:val="00E747B0"/>
    <w:rsid w:val="00E772DF"/>
    <w:rsid w:val="00E773CB"/>
    <w:rsid w:val="00E80762"/>
    <w:rsid w:val="00E838E0"/>
    <w:rsid w:val="00E900CF"/>
    <w:rsid w:val="00E95D6E"/>
    <w:rsid w:val="00EB29F4"/>
    <w:rsid w:val="00EC0386"/>
    <w:rsid w:val="00EC6AE3"/>
    <w:rsid w:val="00ED19F0"/>
    <w:rsid w:val="00ED20FD"/>
    <w:rsid w:val="00ED2D60"/>
    <w:rsid w:val="00ED47C1"/>
    <w:rsid w:val="00EE1857"/>
    <w:rsid w:val="00EE21DA"/>
    <w:rsid w:val="00EE23B8"/>
    <w:rsid w:val="00EE2D4F"/>
    <w:rsid w:val="00EE30EB"/>
    <w:rsid w:val="00EE7722"/>
    <w:rsid w:val="00EF42F7"/>
    <w:rsid w:val="00EF4B13"/>
    <w:rsid w:val="00F01B31"/>
    <w:rsid w:val="00F02FF5"/>
    <w:rsid w:val="00F1010B"/>
    <w:rsid w:val="00F11873"/>
    <w:rsid w:val="00F14F11"/>
    <w:rsid w:val="00F23059"/>
    <w:rsid w:val="00F24A2B"/>
    <w:rsid w:val="00F3036A"/>
    <w:rsid w:val="00F31216"/>
    <w:rsid w:val="00F324AF"/>
    <w:rsid w:val="00F34A73"/>
    <w:rsid w:val="00F35819"/>
    <w:rsid w:val="00F401DF"/>
    <w:rsid w:val="00F40AEA"/>
    <w:rsid w:val="00F40FB6"/>
    <w:rsid w:val="00F410D7"/>
    <w:rsid w:val="00F42953"/>
    <w:rsid w:val="00F45CFF"/>
    <w:rsid w:val="00F50831"/>
    <w:rsid w:val="00F530D2"/>
    <w:rsid w:val="00F54C87"/>
    <w:rsid w:val="00F62B7F"/>
    <w:rsid w:val="00F7159E"/>
    <w:rsid w:val="00F72E63"/>
    <w:rsid w:val="00F75E95"/>
    <w:rsid w:val="00F75EB9"/>
    <w:rsid w:val="00F81A4A"/>
    <w:rsid w:val="00F91FBC"/>
    <w:rsid w:val="00FA340E"/>
    <w:rsid w:val="00FB2EC0"/>
    <w:rsid w:val="00FB385F"/>
    <w:rsid w:val="00FB4373"/>
    <w:rsid w:val="00FC6165"/>
    <w:rsid w:val="00FC7B6C"/>
    <w:rsid w:val="00FD1AEB"/>
    <w:rsid w:val="00FD539C"/>
    <w:rsid w:val="00FE25CC"/>
    <w:rsid w:val="00FE4C5E"/>
    <w:rsid w:val="00FE6733"/>
    <w:rsid w:val="00FF34F0"/>
    <w:rsid w:val="00FF39E9"/>
    <w:rsid w:val="00FF68DD"/>
    <w:rsid w:val="010121B4"/>
    <w:rsid w:val="01520CB9"/>
    <w:rsid w:val="02397CB2"/>
    <w:rsid w:val="02410942"/>
    <w:rsid w:val="02863634"/>
    <w:rsid w:val="071A2D33"/>
    <w:rsid w:val="0AAD38EE"/>
    <w:rsid w:val="0B553428"/>
    <w:rsid w:val="0B6A7B4A"/>
    <w:rsid w:val="0B7C7A64"/>
    <w:rsid w:val="0C8D69A8"/>
    <w:rsid w:val="0C942AAF"/>
    <w:rsid w:val="0E394465"/>
    <w:rsid w:val="103819AC"/>
    <w:rsid w:val="114875EB"/>
    <w:rsid w:val="121534BC"/>
    <w:rsid w:val="12444F04"/>
    <w:rsid w:val="12AE6B32"/>
    <w:rsid w:val="12F26322"/>
    <w:rsid w:val="154A2FFE"/>
    <w:rsid w:val="15EB3A81"/>
    <w:rsid w:val="15EF65FB"/>
    <w:rsid w:val="18DD095C"/>
    <w:rsid w:val="1A4A30B1"/>
    <w:rsid w:val="1D7E18EE"/>
    <w:rsid w:val="1FA55DFC"/>
    <w:rsid w:val="210B3144"/>
    <w:rsid w:val="22295B1A"/>
    <w:rsid w:val="250C32D4"/>
    <w:rsid w:val="251903EC"/>
    <w:rsid w:val="25CA498C"/>
    <w:rsid w:val="267D7CB3"/>
    <w:rsid w:val="268663C4"/>
    <w:rsid w:val="28493AA6"/>
    <w:rsid w:val="28F12FBA"/>
    <w:rsid w:val="2BA8442D"/>
    <w:rsid w:val="2C1B0EE8"/>
    <w:rsid w:val="2CAE175C"/>
    <w:rsid w:val="2D9C13E5"/>
    <w:rsid w:val="2E8E41F0"/>
    <w:rsid w:val="2EE82BF1"/>
    <w:rsid w:val="2FDC6090"/>
    <w:rsid w:val="2FF23AB7"/>
    <w:rsid w:val="3279475B"/>
    <w:rsid w:val="329C1497"/>
    <w:rsid w:val="33AA0350"/>
    <w:rsid w:val="33D0278E"/>
    <w:rsid w:val="33FD5BDC"/>
    <w:rsid w:val="341A3E87"/>
    <w:rsid w:val="348338B6"/>
    <w:rsid w:val="361D3657"/>
    <w:rsid w:val="3671785E"/>
    <w:rsid w:val="36FD2CC6"/>
    <w:rsid w:val="380F1889"/>
    <w:rsid w:val="38615E10"/>
    <w:rsid w:val="38FA1486"/>
    <w:rsid w:val="3A844811"/>
    <w:rsid w:val="3A9C6634"/>
    <w:rsid w:val="3B8443B3"/>
    <w:rsid w:val="3C086B8B"/>
    <w:rsid w:val="3C88075E"/>
    <w:rsid w:val="3C8903DE"/>
    <w:rsid w:val="3D394CFE"/>
    <w:rsid w:val="3E713B01"/>
    <w:rsid w:val="3EED5649"/>
    <w:rsid w:val="3FAC4783"/>
    <w:rsid w:val="3FF67181"/>
    <w:rsid w:val="439C49F8"/>
    <w:rsid w:val="43B452FC"/>
    <w:rsid w:val="43FD3798"/>
    <w:rsid w:val="44D16FF4"/>
    <w:rsid w:val="45B52AE9"/>
    <w:rsid w:val="46554BF1"/>
    <w:rsid w:val="46E3355B"/>
    <w:rsid w:val="48147151"/>
    <w:rsid w:val="485D4FC6"/>
    <w:rsid w:val="48BA3162"/>
    <w:rsid w:val="49E4194A"/>
    <w:rsid w:val="49EB12D5"/>
    <w:rsid w:val="4B3969F9"/>
    <w:rsid w:val="4B4D1E16"/>
    <w:rsid w:val="4F5167AE"/>
    <w:rsid w:val="51322546"/>
    <w:rsid w:val="51F27101"/>
    <w:rsid w:val="52CD22E8"/>
    <w:rsid w:val="540A1CEF"/>
    <w:rsid w:val="54113878"/>
    <w:rsid w:val="54E95ADA"/>
    <w:rsid w:val="55D944E9"/>
    <w:rsid w:val="56EA4326"/>
    <w:rsid w:val="5BDA79C2"/>
    <w:rsid w:val="5CEA77FF"/>
    <w:rsid w:val="5D6E585A"/>
    <w:rsid w:val="5E165C67"/>
    <w:rsid w:val="5E3929A4"/>
    <w:rsid w:val="5E4210B5"/>
    <w:rsid w:val="5E4F4B48"/>
    <w:rsid w:val="60607DAB"/>
    <w:rsid w:val="607D18D9"/>
    <w:rsid w:val="60B47835"/>
    <w:rsid w:val="629F3EDD"/>
    <w:rsid w:val="64E11B0D"/>
    <w:rsid w:val="67034111"/>
    <w:rsid w:val="67BD3540"/>
    <w:rsid w:val="6A621215"/>
    <w:rsid w:val="6CD23598"/>
    <w:rsid w:val="6D887843"/>
    <w:rsid w:val="6EFE06AA"/>
    <w:rsid w:val="6F1C43D6"/>
    <w:rsid w:val="6F3C270D"/>
    <w:rsid w:val="6F927898"/>
    <w:rsid w:val="7038712D"/>
    <w:rsid w:val="735C0F53"/>
    <w:rsid w:val="73830E13"/>
    <w:rsid w:val="743F3744"/>
    <w:rsid w:val="745201E6"/>
    <w:rsid w:val="766E39D9"/>
    <w:rsid w:val="7762336C"/>
    <w:rsid w:val="776442F1"/>
    <w:rsid w:val="777C3F16"/>
    <w:rsid w:val="784B54E8"/>
    <w:rsid w:val="79202048"/>
    <w:rsid w:val="79971C87"/>
    <w:rsid w:val="79D62A71"/>
    <w:rsid w:val="7AA36941"/>
    <w:rsid w:val="7C6E1430"/>
    <w:rsid w:val="7CF53C93"/>
    <w:rsid w:val="7D71105E"/>
    <w:rsid w:val="7D87797E"/>
    <w:rsid w:val="7F2B5E3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3">
    <w:name w:val="annotation subject"/>
    <w:basedOn w:val="4"/>
    <w:next w:val="4"/>
    <w:semiHidden/>
    <w:uiPriority w:val="0"/>
    <w:rPr>
      <w:b/>
      <w:bCs/>
    </w:rPr>
  </w:style>
  <w:style w:type="paragraph" w:styleId="4">
    <w:name w:val="annotation text"/>
    <w:basedOn w:val="1"/>
    <w:semiHidden/>
    <w:uiPriority w:val="0"/>
    <w:pPr>
      <w:jc w:val="left"/>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rPr/>
  </w:style>
  <w:style w:type="character" w:styleId="10">
    <w:name w:val="annotation reference"/>
    <w:semiHidden/>
    <w:uiPriority w:val="0"/>
    <w:rPr>
      <w:sz w:val="21"/>
      <w:szCs w:val="21"/>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List Paragraph"/>
    <w:basedOn w:val="1"/>
    <w:qFormat/>
    <w:uiPriority w:val="34"/>
    <w:pPr>
      <w:ind w:firstLine="420" w:firstLineChars="200"/>
    </w:pPr>
  </w:style>
  <w:style w:type="character" w:customStyle="1" w:styleId="14">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1484</Words>
  <Characters>8463</Characters>
  <Lines>70</Lines>
  <Paragraphs>19</Paragraphs>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2018-06-01T01:29:00Z</dcterms:created>
  <dc:creator>微软用户</dc:creator>
  <cp:lastModifiedBy>cgzx</cp:lastModifiedBy>
  <cp:lastPrinted>2018-06-04T04:09:00Z</cp:lastPrinted>
  <dcterms:modified xsi:type="dcterms:W3CDTF">2018-06-04T09:53:09Z</dcterms:modified>
  <dc:title>2013年度西藏自治区教育厅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