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r>
        <w:rPr>
          <w:rFonts w:hint="eastAsia" w:ascii="仿宋" w:hAnsi="仿宋" w:eastAsia="仿宋" w:cs="方正仿宋简体"/>
          <w:sz w:val="32"/>
          <w:szCs w:val="32"/>
        </w:rPr>
        <w:t>附件3：</w:t>
      </w:r>
    </w:p>
    <w:p>
      <w:pPr>
        <w:jc w:val="left"/>
        <w:rPr>
          <w:sz w:val="44"/>
          <w:szCs w:val="44"/>
        </w:rPr>
      </w:pPr>
    </w:p>
    <w:p>
      <w:pPr>
        <w:jc w:val="left"/>
        <w:rPr>
          <w:sz w:val="44"/>
          <w:szCs w:val="44"/>
        </w:rPr>
      </w:pPr>
    </w:p>
    <w:p>
      <w:pPr>
        <w:jc w:val="left"/>
        <w:rPr>
          <w:sz w:val="44"/>
          <w:szCs w:val="44"/>
        </w:rPr>
      </w:pPr>
    </w:p>
    <w:p>
      <w:pPr>
        <w:spacing w:line="640" w:lineRule="exact"/>
        <w:jc w:val="left"/>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那曲市委员会宣传部</w:t>
      </w:r>
    </w:p>
    <w:p>
      <w:pPr>
        <w:spacing w:line="640" w:lineRule="exact"/>
        <w:jc w:val="center"/>
        <w:rPr>
          <w:rFonts w:ascii="黑体" w:eastAsia="黑体"/>
          <w:b/>
          <w:sz w:val="52"/>
          <w:szCs w:val="52"/>
        </w:rPr>
      </w:pPr>
      <w:r>
        <w:rPr>
          <w:rFonts w:hint="eastAsia" w:ascii="黑体" w:eastAsia="黑体"/>
          <w:b/>
          <w:sz w:val="52"/>
          <w:szCs w:val="52"/>
        </w:rPr>
        <w:t>2019年度</w:t>
      </w:r>
      <w:r>
        <w:rPr>
          <w:rFonts w:hint="eastAsia" w:ascii="黑体" w:eastAsia="黑体"/>
          <w:b/>
          <w:sz w:val="52"/>
          <w:szCs w:val="52"/>
          <w:lang w:eastAsia="zh-CN"/>
        </w:rPr>
        <w:t>本</w:t>
      </w:r>
      <w:r>
        <w:rPr>
          <w:rFonts w:hint="eastAsia" w:ascii="黑体" w:eastAsia="黑体"/>
          <w:b/>
          <w:sz w:val="52"/>
          <w:szCs w:val="52"/>
        </w:rPr>
        <w:t>部门预算</w:t>
      </w:r>
    </w:p>
    <w:p>
      <w:pPr>
        <w:jc w:val="center"/>
        <w:rPr>
          <w:sz w:val="44"/>
          <w:szCs w:val="44"/>
        </w:rPr>
      </w:pPr>
    </w:p>
    <w:p>
      <w:pPr>
        <w:jc w:val="center"/>
        <w:rPr>
          <w:sz w:val="44"/>
          <w:szCs w:val="44"/>
        </w:rPr>
      </w:pPr>
      <w:r>
        <w:rPr>
          <w:rFonts w:hint="eastAsia"/>
          <w:sz w:val="44"/>
          <w:szCs w:val="44"/>
        </w:rPr>
        <w:t>（公示材料）</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宋体" w:hAnsi="宋体"/>
          <w:sz w:val="32"/>
          <w:szCs w:val="32"/>
          <w:u w:val="single"/>
        </w:rPr>
      </w:pPr>
      <w:r>
        <w:rPr>
          <w:rFonts w:hint="eastAsia" w:ascii="宋体" w:hAnsi="宋体"/>
          <w:sz w:val="32"/>
          <w:szCs w:val="32"/>
          <w:u w:val="single"/>
        </w:rPr>
        <w:t>2019</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1</w:t>
      </w:r>
      <w:r>
        <w:rPr>
          <w:rFonts w:hint="eastAsia" w:ascii="宋体" w:hAnsi="宋体"/>
          <w:sz w:val="32"/>
          <w:szCs w:val="32"/>
        </w:rPr>
        <w:t>月</w:t>
      </w:r>
      <w:r>
        <w:rPr>
          <w:rFonts w:hint="eastAsia" w:ascii="宋体" w:hAnsi="宋体"/>
          <w:sz w:val="32"/>
          <w:szCs w:val="32"/>
          <w:u w:val="single"/>
        </w:rPr>
        <w:t xml:space="preserve">  23日</w:t>
      </w:r>
    </w:p>
    <w:p>
      <w:pPr>
        <w:jc w:val="left"/>
        <w:rPr>
          <w:sz w:val="44"/>
          <w:szCs w:val="44"/>
        </w:rPr>
      </w:pPr>
    </w:p>
    <w:p>
      <w:pPr>
        <w:jc w:val="left"/>
        <w:rPr>
          <w:sz w:val="44"/>
          <w:szCs w:val="44"/>
        </w:rPr>
      </w:pPr>
    </w:p>
    <w:p>
      <w:pPr>
        <w:spacing w:line="460" w:lineRule="exact"/>
        <w:jc w:val="left"/>
        <w:rPr>
          <w:rFonts w:ascii="宋体" w:hAnsi="宋体"/>
          <w:b/>
          <w:sz w:val="40"/>
          <w:szCs w:val="40"/>
        </w:rPr>
      </w:pPr>
    </w:p>
    <w:p>
      <w:pPr>
        <w:spacing w:line="460" w:lineRule="exact"/>
        <w:jc w:val="center"/>
        <w:rPr>
          <w:rFonts w:ascii="宋体" w:hAnsi="宋体"/>
          <w:b/>
          <w:sz w:val="40"/>
          <w:szCs w:val="40"/>
        </w:rPr>
      </w:pPr>
      <w:r>
        <w:rPr>
          <w:rFonts w:hint="eastAsia" w:ascii="宋体" w:hAnsi="宋体"/>
          <w:b/>
          <w:sz w:val="40"/>
          <w:szCs w:val="40"/>
        </w:rPr>
        <w:t>目  录</w:t>
      </w:r>
    </w:p>
    <w:p>
      <w:pPr>
        <w:spacing w:line="460" w:lineRule="exact"/>
        <w:jc w:val="left"/>
        <w:rPr>
          <w:rFonts w:ascii="宋体" w:hAnsi="宋体"/>
          <w:b/>
          <w:sz w:val="40"/>
          <w:szCs w:val="40"/>
        </w:rPr>
      </w:pP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第一部分 那曲市委员会宣传部概况</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一、部门职责</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二、机构设置情况</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第二部分 那曲市委员会宣传部2019年度部门预算明细表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一、财政拨款收支总表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二、一般公共预算支出表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三、一般公共预算基本支出表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四、一般公共预算“三公”经费支出表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五、政府性基金预算支出表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六、部门收支总表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七、部门收入总表</w:t>
      </w:r>
    </w:p>
    <w:p>
      <w:pPr>
        <w:spacing w:beforeLines="100" w:afterLines="100" w:line="460" w:lineRule="exact"/>
        <w:jc w:val="left"/>
        <w:rPr>
          <w:rFonts w:ascii="方正楷体简体" w:hAnsi="宋体" w:eastAsia="方正楷体简体"/>
          <w:sz w:val="32"/>
          <w:szCs w:val="32"/>
        </w:rPr>
      </w:pPr>
      <w:r>
        <w:rPr>
          <w:rFonts w:hint="eastAsia" w:ascii="方正楷体简体" w:hAnsi="宋体" w:eastAsia="方正楷体简体"/>
          <w:sz w:val="32"/>
          <w:szCs w:val="32"/>
        </w:rPr>
        <w:t>八、部门支出总表</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第三部分 那曲市委员会宣传部2019年度部门预算情况说明</w:t>
      </w:r>
    </w:p>
    <w:p>
      <w:pPr>
        <w:spacing w:beforeLines="100" w:afterLines="100" w:line="460" w:lineRule="exact"/>
        <w:jc w:val="left"/>
        <w:rPr>
          <w:rFonts w:ascii="黑体" w:hAnsi="宋体" w:eastAsia="黑体"/>
          <w:sz w:val="32"/>
          <w:szCs w:val="32"/>
        </w:rPr>
      </w:pPr>
      <w:r>
        <w:rPr>
          <w:rFonts w:hint="eastAsia" w:ascii="黑体" w:hAnsi="宋体" w:eastAsia="黑体"/>
          <w:sz w:val="32"/>
          <w:szCs w:val="32"/>
        </w:rPr>
        <w:t>第四部分  名词解释</w:t>
      </w:r>
    </w:p>
    <w:p>
      <w:pPr>
        <w:widowControl/>
        <w:jc w:val="left"/>
        <w:rPr>
          <w:rFonts w:ascii="宋体" w:hAnsi="宋体"/>
          <w:b/>
          <w:sz w:val="40"/>
          <w:szCs w:val="40"/>
        </w:rPr>
      </w:pPr>
      <w:r>
        <w:rPr>
          <w:rFonts w:ascii="宋体" w:hAnsi="宋体"/>
          <w:b/>
          <w:sz w:val="40"/>
          <w:szCs w:val="40"/>
        </w:rPr>
        <w:br w:type="page"/>
      </w: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宋体" w:hAnsi="宋体"/>
          <w:b/>
          <w:sz w:val="40"/>
          <w:szCs w:val="40"/>
        </w:rPr>
      </w:pPr>
    </w:p>
    <w:p>
      <w:pPr>
        <w:spacing w:line="460" w:lineRule="exact"/>
        <w:jc w:val="lef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第一部分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那曲市委员会宣传部概况</w:t>
      </w:r>
    </w:p>
    <w:p>
      <w:pPr>
        <w:spacing w:line="460" w:lineRule="exact"/>
        <w:jc w:val="left"/>
        <w:rPr>
          <w:rFonts w:ascii="黑体" w:hAnsi="宋体" w:eastAsia="黑体"/>
          <w:sz w:val="48"/>
          <w:szCs w:val="48"/>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rFonts w:ascii="华文中宋" w:hAnsi="华文中宋" w:eastAsia="华文中宋"/>
          <w:b/>
          <w:sz w:val="36"/>
          <w:szCs w:val="36"/>
        </w:rPr>
      </w:pPr>
    </w:p>
    <w:p>
      <w:pPr>
        <w:jc w:val="left"/>
        <w:rPr>
          <w:sz w:val="44"/>
          <w:szCs w:val="44"/>
        </w:rPr>
      </w:pPr>
    </w:p>
    <w:p>
      <w:pPr>
        <w:widowControl/>
        <w:jc w:val="left"/>
        <w:rPr>
          <w:rFonts w:ascii="黑体" w:hAnsi="宋体" w:eastAsia="黑体"/>
          <w:b/>
          <w:sz w:val="32"/>
          <w:szCs w:val="32"/>
        </w:rPr>
      </w:pPr>
      <w:r>
        <w:rPr>
          <w:rFonts w:ascii="黑体" w:hAnsi="宋体" w:eastAsia="黑体"/>
          <w:b/>
          <w:sz w:val="32"/>
          <w:szCs w:val="32"/>
        </w:rPr>
        <w:br w:type="page"/>
      </w:r>
    </w:p>
    <w:p>
      <w:pPr>
        <w:numPr>
          <w:ilvl w:val="0"/>
          <w:numId w:val="1"/>
        </w:numPr>
        <w:ind w:firstLine="630" w:firstLineChars="196"/>
        <w:jc w:val="left"/>
        <w:rPr>
          <w:rFonts w:ascii="黑体" w:hAnsi="宋体" w:eastAsia="黑体"/>
          <w:b/>
          <w:sz w:val="32"/>
          <w:szCs w:val="32"/>
        </w:rPr>
      </w:pPr>
      <w:r>
        <w:rPr>
          <w:rFonts w:hint="eastAsia" w:ascii="黑体" w:hAnsi="宋体" w:eastAsia="黑体"/>
          <w:b/>
          <w:sz w:val="32"/>
          <w:szCs w:val="32"/>
        </w:rPr>
        <w:t>那曲市委员会宣传部部门职责、</w:t>
      </w:r>
    </w:p>
    <w:p>
      <w:pPr>
        <w:rPr>
          <w:sz w:val="32"/>
          <w:szCs w:val="32"/>
        </w:rPr>
      </w:pPr>
      <w:r>
        <w:rPr>
          <w:rFonts w:hint="eastAsia"/>
          <w:sz w:val="32"/>
          <w:szCs w:val="32"/>
        </w:rPr>
        <w:t xml:space="preserve">      市委员会宣传部负责规划、部署全市的宣传思想工作、负责引导社会舆论、指导、监督、管理和协调全市新闻宣传、出版工作、对市新闻媒体实施方针政策指导。负责全市精神文明创建工作的规划和组织实施、协调、指导和监督全市文明城市、行业、社区、未成年人思想道德建设等各类精神文明创建活动。</w:t>
      </w:r>
    </w:p>
    <w:p>
      <w:pPr>
        <w:numPr>
          <w:ilvl w:val="0"/>
          <w:numId w:val="1"/>
        </w:numPr>
        <w:ind w:firstLine="630" w:firstLineChars="196"/>
        <w:jc w:val="left"/>
        <w:rPr>
          <w:rFonts w:ascii="黑体" w:hAnsi="宋体" w:eastAsia="黑体"/>
          <w:b/>
          <w:sz w:val="32"/>
          <w:szCs w:val="32"/>
        </w:rPr>
      </w:pPr>
      <w:r>
        <w:rPr>
          <w:rFonts w:hint="eastAsia" w:ascii="黑体" w:hAnsi="宋体" w:eastAsia="黑体"/>
          <w:b/>
          <w:sz w:val="32"/>
          <w:szCs w:val="32"/>
        </w:rPr>
        <w:t>那曲市委员会宣传部部门机构设置情况</w:t>
      </w:r>
    </w:p>
    <w:p>
      <w:pPr>
        <w:jc w:val="left"/>
        <w:rPr>
          <w:sz w:val="32"/>
          <w:szCs w:val="32"/>
        </w:rPr>
      </w:pPr>
      <w:r>
        <w:rPr>
          <w:rFonts w:hint="eastAsia" w:ascii="黑体" w:hAnsi="宋体" w:eastAsia="黑体"/>
          <w:b/>
          <w:sz w:val="32"/>
          <w:szCs w:val="32"/>
        </w:rPr>
        <w:t xml:space="preserve">      </w:t>
      </w:r>
      <w:r>
        <w:rPr>
          <w:rFonts w:hint="eastAsia"/>
          <w:sz w:val="32"/>
          <w:szCs w:val="32"/>
        </w:rPr>
        <w:t>我部隶属行政机构，核定行政编制27人，事业编制22人，参照公务员编制15人，共计64人。2018年年底实有在职干部54人、实有退休人员18人、其他财政供养人员2员（公益性岗位）。市委宣传部内设机构：办公室、理教科（国防教育科、舆情信息科）、宣传教育科、精神文明办公室、外宣科（行署新闻局）、人事科、讲师团、那曲报社;市网信办内设机构：网络管理科、网络宣传科、互联网评论中心；市文化执法支队：综合科、执法科。</w:t>
      </w:r>
    </w:p>
    <w:p>
      <w:pPr>
        <w:jc w:val="left"/>
        <w:rPr>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jc w:val="left"/>
        <w:rPr>
          <w:rFonts w:ascii="黑体" w:eastAsia="黑体"/>
          <w:sz w:val="32"/>
          <w:szCs w:val="32"/>
        </w:rPr>
      </w:pPr>
    </w:p>
    <w:p>
      <w:pPr>
        <w:spacing w:line="460" w:lineRule="exact"/>
        <w:rPr>
          <w:rFonts w:ascii="黑体" w:hAnsi="宋体" w:eastAsia="黑体"/>
          <w:sz w:val="48"/>
          <w:szCs w:val="48"/>
        </w:rPr>
      </w:pPr>
      <w:r>
        <w:rPr>
          <w:rFonts w:hint="eastAsia" w:ascii="黑体" w:hAnsi="宋体" w:eastAsia="黑体"/>
          <w:sz w:val="48"/>
          <w:szCs w:val="48"/>
        </w:rPr>
        <w:t xml:space="preserve">             </w:t>
      </w:r>
    </w:p>
    <w:p>
      <w:pPr>
        <w:spacing w:line="460" w:lineRule="exact"/>
        <w:rPr>
          <w:rFonts w:ascii="黑体" w:hAnsi="宋体" w:eastAsia="黑体"/>
          <w:sz w:val="48"/>
          <w:szCs w:val="48"/>
        </w:rPr>
      </w:pPr>
    </w:p>
    <w:p>
      <w:pPr>
        <w:spacing w:line="460" w:lineRule="exact"/>
        <w:rPr>
          <w:rFonts w:ascii="黑体" w:hAnsi="宋体" w:eastAsia="黑体"/>
          <w:sz w:val="48"/>
          <w:szCs w:val="48"/>
        </w:rPr>
      </w:pPr>
    </w:p>
    <w:p>
      <w:pPr>
        <w:spacing w:line="460" w:lineRule="exact"/>
        <w:rPr>
          <w:rFonts w:ascii="黑体" w:hAnsi="宋体" w:eastAsia="黑体"/>
          <w:sz w:val="48"/>
          <w:szCs w:val="48"/>
        </w:rPr>
      </w:pPr>
    </w:p>
    <w:p>
      <w:pPr>
        <w:spacing w:line="460" w:lineRule="exact"/>
        <w:rPr>
          <w:rFonts w:ascii="黑体" w:hAnsi="宋体" w:eastAsia="黑体"/>
          <w:sz w:val="48"/>
          <w:szCs w:val="48"/>
        </w:rPr>
      </w:pPr>
    </w:p>
    <w:p>
      <w:pPr>
        <w:spacing w:line="460" w:lineRule="exact"/>
        <w:rPr>
          <w:rFonts w:ascii="黑体" w:hAnsi="宋体" w:eastAsia="黑体"/>
          <w:sz w:val="48"/>
          <w:szCs w:val="48"/>
        </w:rPr>
      </w:pPr>
    </w:p>
    <w:p>
      <w:pPr>
        <w:spacing w:line="460" w:lineRule="exact"/>
        <w:rPr>
          <w:rFonts w:ascii="黑体" w:hAnsi="宋体" w:eastAsia="黑体"/>
          <w:sz w:val="48"/>
          <w:szCs w:val="48"/>
        </w:rPr>
      </w:pPr>
      <w:r>
        <w:rPr>
          <w:rFonts w:hint="eastAsia" w:ascii="黑体" w:hAnsi="宋体" w:eastAsia="黑体"/>
          <w:sz w:val="48"/>
          <w:szCs w:val="48"/>
        </w:rPr>
        <w:t xml:space="preserve">              第二部分</w:t>
      </w:r>
    </w:p>
    <w:p>
      <w:pPr>
        <w:spacing w:line="460" w:lineRule="exact"/>
        <w:jc w:val="center"/>
        <w:rPr>
          <w:rFonts w:ascii="黑体" w:hAnsi="宋体" w:eastAsia="黑体"/>
          <w:sz w:val="48"/>
          <w:szCs w:val="48"/>
        </w:rPr>
      </w:pPr>
    </w:p>
    <w:p>
      <w:pPr>
        <w:spacing w:line="460" w:lineRule="exact"/>
        <w:jc w:val="center"/>
        <w:rPr>
          <w:rFonts w:ascii="黑体" w:eastAsia="黑体"/>
          <w:sz w:val="32"/>
          <w:szCs w:val="32"/>
        </w:rPr>
      </w:pPr>
      <w:r>
        <w:rPr>
          <w:rFonts w:hint="eastAsia" w:ascii="黑体" w:hAnsi="宋体" w:eastAsia="黑体"/>
          <w:sz w:val="48"/>
          <w:szCs w:val="48"/>
        </w:rPr>
        <w:t>那曲市委员会宣传部              2019年度预算明细表</w:t>
      </w:r>
    </w:p>
    <w:p>
      <w:pPr>
        <w:spacing w:beforeLines="50" w:afterLines="50"/>
        <w:jc w:val="center"/>
        <w:rPr>
          <w:rFonts w:ascii="黑体" w:eastAsia="黑体"/>
          <w:sz w:val="32"/>
          <w:szCs w:val="32"/>
        </w:rPr>
      </w:pPr>
      <w:r>
        <w:rPr>
          <w:rFonts w:hint="eastAsia" w:ascii="黑体" w:eastAsia="黑体"/>
          <w:sz w:val="32"/>
          <w:szCs w:val="32"/>
        </w:rPr>
        <w:t>（表格见部门公开表1-8）</w:t>
      </w: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widowControl/>
        <w:jc w:val="left"/>
        <w:rPr>
          <w:rFonts w:ascii="黑体" w:eastAsia="黑体"/>
          <w:sz w:val="32"/>
          <w:szCs w:val="32"/>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tbl>
      <w:tblPr>
        <w:tblStyle w:val="11"/>
        <w:tblW w:w="10787" w:type="dxa"/>
        <w:tblInd w:w="94" w:type="dxa"/>
        <w:tblLayout w:type="fixed"/>
        <w:tblCellMar>
          <w:top w:w="0" w:type="dxa"/>
          <w:left w:w="108" w:type="dxa"/>
          <w:bottom w:w="0" w:type="dxa"/>
          <w:right w:w="108" w:type="dxa"/>
        </w:tblCellMar>
      </w:tblPr>
      <w:tblGrid>
        <w:gridCol w:w="2761"/>
        <w:gridCol w:w="1551"/>
        <w:gridCol w:w="2144"/>
        <w:gridCol w:w="7"/>
        <w:gridCol w:w="997"/>
        <w:gridCol w:w="428"/>
        <w:gridCol w:w="1198"/>
        <w:gridCol w:w="1701"/>
      </w:tblGrid>
      <w:tr>
        <w:tblPrEx>
          <w:tblLayout w:type="fixed"/>
          <w:tblCellMar>
            <w:top w:w="0" w:type="dxa"/>
            <w:left w:w="108" w:type="dxa"/>
            <w:bottom w:w="0" w:type="dxa"/>
            <w:right w:w="108" w:type="dxa"/>
          </w:tblCellMar>
        </w:tblPrEx>
        <w:trPr>
          <w:trHeight w:val="559" w:hRule="atLeast"/>
        </w:trPr>
        <w:tc>
          <w:tcPr>
            <w:tcW w:w="2761"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551"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144"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43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899"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部门公开01表</w:t>
            </w:r>
          </w:p>
        </w:tc>
      </w:tr>
      <w:tr>
        <w:tblPrEx>
          <w:tblLayout w:type="fixed"/>
          <w:tblCellMar>
            <w:top w:w="0" w:type="dxa"/>
            <w:left w:w="108" w:type="dxa"/>
            <w:bottom w:w="0" w:type="dxa"/>
            <w:right w:w="108" w:type="dxa"/>
          </w:tblCellMar>
        </w:tblPrEx>
        <w:trPr>
          <w:trHeight w:val="615" w:hRule="atLeast"/>
        </w:trPr>
        <w:tc>
          <w:tcPr>
            <w:tcW w:w="10787" w:type="dxa"/>
            <w:gridSpan w:val="8"/>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财政拨款收支总表</w:t>
            </w:r>
          </w:p>
        </w:tc>
      </w:tr>
      <w:tr>
        <w:tblPrEx>
          <w:tblLayout w:type="fixed"/>
          <w:tblCellMar>
            <w:top w:w="0" w:type="dxa"/>
            <w:left w:w="108" w:type="dxa"/>
            <w:bottom w:w="0" w:type="dxa"/>
            <w:right w:w="108" w:type="dxa"/>
          </w:tblCellMar>
        </w:tblPrEx>
        <w:trPr>
          <w:trHeight w:val="559" w:hRule="atLeast"/>
        </w:trPr>
        <w:tc>
          <w:tcPr>
            <w:tcW w:w="431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部门：那曲市委员会宣传部</w:t>
            </w:r>
          </w:p>
        </w:tc>
        <w:tc>
          <w:tcPr>
            <w:tcW w:w="2144" w:type="dxa"/>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2019年度</w:t>
            </w:r>
          </w:p>
        </w:tc>
        <w:tc>
          <w:tcPr>
            <w:tcW w:w="1004" w:type="dxa"/>
            <w:gridSpan w:val="2"/>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gridSpan w:val="2"/>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nil"/>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Layout w:type="fixed"/>
          <w:tblCellMar>
            <w:top w:w="0" w:type="dxa"/>
            <w:left w:w="108" w:type="dxa"/>
            <w:bottom w:w="0" w:type="dxa"/>
            <w:right w:w="108" w:type="dxa"/>
          </w:tblCellMar>
        </w:tblPrEx>
        <w:trPr>
          <w:trHeight w:val="480" w:hRule="atLeast"/>
        </w:trPr>
        <w:tc>
          <w:tcPr>
            <w:tcW w:w="4312"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收入</w:t>
            </w:r>
          </w:p>
        </w:tc>
        <w:tc>
          <w:tcPr>
            <w:tcW w:w="6475" w:type="dxa"/>
            <w:gridSpan w:val="6"/>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支出</w:t>
            </w:r>
          </w:p>
        </w:tc>
      </w:tr>
      <w:tr>
        <w:tblPrEx>
          <w:tblLayout w:type="fixed"/>
          <w:tblCellMar>
            <w:top w:w="0" w:type="dxa"/>
            <w:left w:w="108" w:type="dxa"/>
            <w:bottom w:w="0" w:type="dxa"/>
            <w:right w:w="108" w:type="dxa"/>
          </w:tblCellMar>
        </w:tblPrEx>
        <w:trPr>
          <w:trHeight w:val="660" w:hRule="atLeast"/>
        </w:trPr>
        <w:tc>
          <w:tcPr>
            <w:tcW w:w="2761"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5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预算数 </w:t>
            </w:r>
          </w:p>
        </w:tc>
        <w:tc>
          <w:tcPr>
            <w:tcW w:w="215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9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合计 </w:t>
            </w:r>
          </w:p>
        </w:tc>
        <w:tc>
          <w:tcPr>
            <w:tcW w:w="162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一般公共预算财政拨款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政府性基金预算财政拨款</w:t>
            </w:r>
          </w:p>
        </w:tc>
      </w:tr>
      <w:tr>
        <w:tblPrEx>
          <w:tblLayout w:type="fixed"/>
          <w:tblCellMar>
            <w:top w:w="0" w:type="dxa"/>
            <w:left w:w="108" w:type="dxa"/>
            <w:bottom w:w="0" w:type="dxa"/>
            <w:right w:w="108" w:type="dxa"/>
          </w:tblCellMar>
        </w:tblPrEx>
        <w:trPr>
          <w:trHeight w:val="545"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一、本年收入</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1959.27              </w:t>
            </w:r>
          </w:p>
        </w:tc>
        <w:tc>
          <w:tcPr>
            <w:tcW w:w="215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一、本年支出</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1959.27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1959.27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（一）一般公共服务支出</w:t>
            </w:r>
          </w:p>
        </w:tc>
        <w:tc>
          <w:tcPr>
            <w:tcW w:w="997" w:type="dxa"/>
            <w:tcBorders>
              <w:top w:val="nil"/>
              <w:left w:val="nil"/>
              <w:bottom w:val="single" w:color="auto" w:sz="4" w:space="0"/>
              <w:right w:val="single" w:color="auto" w:sz="4" w:space="0"/>
            </w:tcBorders>
            <w:vAlign w:val="center"/>
          </w:tcPr>
          <w:p>
            <w:pPr>
              <w:widowControl/>
              <w:tabs>
                <w:tab w:val="left" w:pos="539"/>
                <w:tab w:val="right" w:pos="112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1535.45</w:t>
            </w: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 xml:space="preserve">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（二）政府性基金预算财政拨款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numPr>
                <w:ilvl w:val="0"/>
                <w:numId w:val="2"/>
              </w:numP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社会保障支出</w:t>
            </w:r>
          </w:p>
        </w:tc>
        <w:tc>
          <w:tcPr>
            <w:tcW w:w="997" w:type="dxa"/>
            <w:tcBorders>
              <w:top w:val="nil"/>
              <w:left w:val="nil"/>
              <w:bottom w:val="single" w:color="auto" w:sz="4" w:space="0"/>
              <w:right w:val="single" w:color="auto" w:sz="4" w:space="0"/>
            </w:tcBorders>
            <w:vAlign w:val="center"/>
          </w:tcPr>
          <w:p>
            <w:pPr>
              <w:widowControl/>
              <w:tabs>
                <w:tab w:val="left" w:pos="226"/>
                <w:tab w:val="right" w:pos="112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214.78</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（三）医疗卫生与计划生育支出</w:t>
            </w:r>
          </w:p>
        </w:tc>
        <w:tc>
          <w:tcPr>
            <w:tcW w:w="997" w:type="dxa"/>
            <w:tcBorders>
              <w:top w:val="nil"/>
              <w:left w:val="nil"/>
              <w:bottom w:val="single" w:color="auto" w:sz="4" w:space="0"/>
              <w:right w:val="single" w:color="auto" w:sz="4" w:space="0"/>
            </w:tcBorders>
            <w:vAlign w:val="center"/>
          </w:tcPr>
          <w:p>
            <w:pPr>
              <w:widowControl/>
              <w:tabs>
                <w:tab w:val="center" w:pos="390"/>
                <w:tab w:val="right" w:pos="101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98.34</w:t>
            </w: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 xml:space="preserve">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（四）住房保障支出</w:t>
            </w:r>
          </w:p>
        </w:tc>
        <w:tc>
          <w:tcPr>
            <w:tcW w:w="99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110.7</w:t>
            </w:r>
          </w:p>
        </w:tc>
        <w:tc>
          <w:tcPr>
            <w:tcW w:w="1626"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二、上年结转</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626"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（二）政府性基金预算拨款</w:t>
            </w:r>
          </w:p>
        </w:tc>
        <w:tc>
          <w:tcPr>
            <w:tcW w:w="1551" w:type="dxa"/>
            <w:tcBorders>
              <w:top w:val="nil"/>
              <w:left w:val="nil"/>
              <w:bottom w:val="single" w:color="auto" w:sz="4" w:space="0"/>
              <w:right w:val="single" w:color="auto" w:sz="4" w:space="0"/>
            </w:tcBorders>
            <w:vAlign w:val="center"/>
          </w:tcPr>
          <w:p>
            <w:pPr>
              <w:widowControl/>
              <w:ind w:right="44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二、结转下年</w:t>
            </w:r>
          </w:p>
        </w:tc>
        <w:tc>
          <w:tcPr>
            <w:tcW w:w="997" w:type="dxa"/>
            <w:tcBorders>
              <w:top w:val="nil"/>
              <w:left w:val="nil"/>
              <w:bottom w:val="single" w:color="auto" w:sz="4" w:space="0"/>
              <w:right w:val="single" w:color="auto" w:sz="4" w:space="0"/>
            </w:tcBorders>
            <w:vAlign w:val="center"/>
          </w:tcPr>
          <w:p>
            <w:pPr>
              <w:widowControl/>
              <w:ind w:right="220"/>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701"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15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6"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01"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559" w:hRule="atLeast"/>
        </w:trPr>
        <w:tc>
          <w:tcPr>
            <w:tcW w:w="2761" w:type="dxa"/>
            <w:tcBorders>
              <w:top w:val="nil"/>
              <w:left w:val="single" w:color="auto" w:sz="8" w:space="0"/>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收 入 总 计</w:t>
            </w:r>
          </w:p>
        </w:tc>
        <w:tc>
          <w:tcPr>
            <w:tcW w:w="1551"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1959.27       </w:t>
            </w:r>
          </w:p>
        </w:tc>
        <w:tc>
          <w:tcPr>
            <w:tcW w:w="2151" w:type="dxa"/>
            <w:gridSpan w:val="2"/>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 出 总 计</w:t>
            </w:r>
          </w:p>
        </w:tc>
        <w:tc>
          <w:tcPr>
            <w:tcW w:w="997" w:type="dxa"/>
            <w:tcBorders>
              <w:top w:val="nil"/>
              <w:left w:val="nil"/>
              <w:bottom w:val="single" w:color="auto" w:sz="8"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1959.27</w:t>
            </w:r>
          </w:p>
        </w:tc>
        <w:tc>
          <w:tcPr>
            <w:tcW w:w="1626" w:type="dxa"/>
            <w:gridSpan w:val="2"/>
            <w:tcBorders>
              <w:top w:val="nil"/>
              <w:left w:val="nil"/>
              <w:bottom w:val="single" w:color="auto" w:sz="8"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701"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bl>
    <w:p>
      <w:pPr>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tbl>
      <w:tblPr>
        <w:tblStyle w:val="11"/>
        <w:tblW w:w="10900" w:type="dxa"/>
        <w:tblInd w:w="94" w:type="dxa"/>
        <w:tblLayout w:type="fixed"/>
        <w:tblCellMar>
          <w:top w:w="0" w:type="dxa"/>
          <w:left w:w="108" w:type="dxa"/>
          <w:bottom w:w="0" w:type="dxa"/>
          <w:right w:w="108" w:type="dxa"/>
        </w:tblCellMar>
      </w:tblPr>
      <w:tblGrid>
        <w:gridCol w:w="1080"/>
        <w:gridCol w:w="4180"/>
        <w:gridCol w:w="1360"/>
        <w:gridCol w:w="1360"/>
        <w:gridCol w:w="681"/>
        <w:gridCol w:w="679"/>
        <w:gridCol w:w="1560"/>
      </w:tblGrid>
      <w:tr>
        <w:tblPrEx>
          <w:tblLayout w:type="fixed"/>
          <w:tblCellMar>
            <w:top w:w="0" w:type="dxa"/>
            <w:left w:w="108" w:type="dxa"/>
            <w:bottom w:w="0" w:type="dxa"/>
            <w:right w:w="108" w:type="dxa"/>
          </w:tblCellMar>
        </w:tblPrEx>
        <w:trPr>
          <w:trHeight w:val="285" w:hRule="atLeast"/>
        </w:trPr>
        <w:tc>
          <w:tcPr>
            <w:tcW w:w="108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418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3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360" w:type="dxa"/>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681"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239" w:type="dxa"/>
            <w:gridSpan w:val="2"/>
            <w:tcBorders>
              <w:top w:val="nil"/>
              <w:left w:val="nil"/>
              <w:bottom w:val="nil"/>
              <w:right w:val="nil"/>
            </w:tcBorders>
            <w:vAlign w:val="center"/>
          </w:tcPr>
          <w:p>
            <w:pPr>
              <w:widowControl/>
              <w:jc w:val="right"/>
              <w:rPr>
                <w:rFonts w:ascii="黑体" w:hAnsi="黑体" w:eastAsia="黑体" w:cs="宋体"/>
                <w:color w:val="000000"/>
                <w:kern w:val="0"/>
                <w:sz w:val="24"/>
              </w:rPr>
            </w:pPr>
            <w:r>
              <w:rPr>
                <w:rFonts w:hint="eastAsia" w:ascii="黑体" w:hAnsi="黑体" w:eastAsia="黑体" w:cs="宋体"/>
                <w:color w:val="000000"/>
                <w:kern w:val="0"/>
                <w:sz w:val="24"/>
              </w:rPr>
              <w:t>部门公开02表</w:t>
            </w:r>
          </w:p>
        </w:tc>
      </w:tr>
      <w:tr>
        <w:tblPrEx>
          <w:tblLayout w:type="fixed"/>
          <w:tblCellMar>
            <w:top w:w="0" w:type="dxa"/>
            <w:left w:w="108" w:type="dxa"/>
            <w:bottom w:w="0" w:type="dxa"/>
            <w:right w:w="108" w:type="dxa"/>
          </w:tblCellMar>
        </w:tblPrEx>
        <w:trPr>
          <w:trHeight w:val="450" w:hRule="atLeast"/>
        </w:trPr>
        <w:tc>
          <w:tcPr>
            <w:tcW w:w="10900" w:type="dxa"/>
            <w:gridSpan w:val="7"/>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一般公共预算支出表</w:t>
            </w:r>
          </w:p>
        </w:tc>
      </w:tr>
      <w:tr>
        <w:tblPrEx>
          <w:tblLayout w:type="fixed"/>
          <w:tblCellMar>
            <w:top w:w="0" w:type="dxa"/>
            <w:left w:w="108" w:type="dxa"/>
            <w:bottom w:w="0" w:type="dxa"/>
            <w:right w:w="108" w:type="dxa"/>
          </w:tblCellMar>
        </w:tblPrEx>
        <w:trPr>
          <w:trHeight w:val="285" w:hRule="atLeast"/>
        </w:trPr>
        <w:tc>
          <w:tcPr>
            <w:tcW w:w="5260"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部门：那曲市委员宣传部                     </w:t>
            </w:r>
          </w:p>
        </w:tc>
        <w:tc>
          <w:tcPr>
            <w:tcW w:w="4080" w:type="dxa"/>
            <w:gridSpan w:val="4"/>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2019年度 </w:t>
            </w:r>
          </w:p>
        </w:tc>
        <w:tc>
          <w:tcPr>
            <w:tcW w:w="1560" w:type="dxa"/>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Layout w:type="fixed"/>
          <w:tblCellMar>
            <w:top w:w="0" w:type="dxa"/>
            <w:left w:w="108" w:type="dxa"/>
            <w:bottom w:w="0" w:type="dxa"/>
            <w:right w:w="108" w:type="dxa"/>
          </w:tblCellMar>
        </w:tblPrEx>
        <w:trPr>
          <w:trHeight w:val="285" w:hRule="atLeast"/>
        </w:trPr>
        <w:tc>
          <w:tcPr>
            <w:tcW w:w="5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功能分类科目</w:t>
            </w:r>
          </w:p>
        </w:tc>
        <w:tc>
          <w:tcPr>
            <w:tcW w:w="4080"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2019年预算数 </w:t>
            </w:r>
          </w:p>
        </w:tc>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科目编码</w:t>
            </w:r>
          </w:p>
        </w:tc>
        <w:tc>
          <w:tcPr>
            <w:tcW w:w="41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w:t>
            </w:r>
          </w:p>
        </w:tc>
        <w:tc>
          <w:tcPr>
            <w:tcW w:w="13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小计 </w:t>
            </w:r>
          </w:p>
        </w:tc>
        <w:tc>
          <w:tcPr>
            <w:tcW w:w="13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3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项目支出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2013301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1254.85</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1254.85</w:t>
            </w:r>
          </w:p>
        </w:tc>
        <w:tc>
          <w:tcPr>
            <w:tcW w:w="136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2013399</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其他宣传事务支出</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280.60</w:t>
            </w:r>
          </w:p>
        </w:tc>
        <w:tc>
          <w:tcPr>
            <w:tcW w:w="1360" w:type="dxa"/>
            <w:tcBorders>
              <w:top w:val="nil"/>
              <w:left w:val="nil"/>
              <w:bottom w:val="single" w:color="auto" w:sz="4" w:space="0"/>
              <w:right w:val="single" w:color="auto" w:sz="4" w:space="0"/>
            </w:tcBorders>
            <w:vAlign w:val="center"/>
          </w:tcPr>
          <w:p>
            <w:pPr>
              <w:widowControl/>
              <w:ind w:firstLine="330"/>
              <w:jc w:val="center"/>
              <w:rPr>
                <w:rFonts w:ascii="宋体" w:hAnsi="宋体" w:cs="宋体"/>
                <w:color w:val="000000"/>
                <w:kern w:val="0"/>
                <w:sz w:val="22"/>
                <w:szCs w:val="22"/>
              </w:rPr>
            </w:pPr>
          </w:p>
        </w:tc>
        <w:tc>
          <w:tcPr>
            <w:tcW w:w="1360"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280.60</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机关事务单位基本养老保险缴费支出</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2080705</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公益性岗位补贴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2080801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死亡抚恤</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行政单位医疗   </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78.58</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78.58</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住房公积金</w:t>
            </w: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110.70</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110.70</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5" w:hRule="atLeast"/>
        </w:trPr>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8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1959.27</w:t>
            </w:r>
          </w:p>
        </w:tc>
        <w:tc>
          <w:tcPr>
            <w:tcW w:w="1360"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6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jc w:val="left"/>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tbl>
      <w:tblPr>
        <w:tblStyle w:val="11"/>
        <w:tblW w:w="10702" w:type="dxa"/>
        <w:tblInd w:w="94" w:type="dxa"/>
        <w:tblLayout w:type="fixed"/>
        <w:tblCellMar>
          <w:top w:w="0" w:type="dxa"/>
          <w:left w:w="108" w:type="dxa"/>
          <w:bottom w:w="0" w:type="dxa"/>
          <w:right w:w="108" w:type="dxa"/>
        </w:tblCellMar>
      </w:tblPr>
      <w:tblGrid>
        <w:gridCol w:w="583"/>
        <w:gridCol w:w="464"/>
        <w:gridCol w:w="101"/>
        <w:gridCol w:w="1895"/>
        <w:gridCol w:w="1302"/>
        <w:gridCol w:w="584"/>
        <w:gridCol w:w="464"/>
        <w:gridCol w:w="150"/>
        <w:gridCol w:w="2101"/>
        <w:gridCol w:w="167"/>
        <w:gridCol w:w="1135"/>
        <w:gridCol w:w="282"/>
        <w:gridCol w:w="1474"/>
      </w:tblGrid>
      <w:tr>
        <w:tblPrEx>
          <w:tblLayout w:type="fixed"/>
          <w:tblCellMar>
            <w:top w:w="0" w:type="dxa"/>
            <w:left w:w="108" w:type="dxa"/>
            <w:bottom w:w="0" w:type="dxa"/>
            <w:right w:w="108" w:type="dxa"/>
          </w:tblCellMar>
        </w:tblPrEx>
        <w:trPr>
          <w:trHeight w:val="454" w:hRule="atLeast"/>
          <w:tblHeader/>
        </w:trPr>
        <w:tc>
          <w:tcPr>
            <w:tcW w:w="583"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6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99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302"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58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46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225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302"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756"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 部门公开03表 </w:t>
            </w:r>
          </w:p>
        </w:tc>
      </w:tr>
      <w:tr>
        <w:tblPrEx>
          <w:tblLayout w:type="fixed"/>
          <w:tblCellMar>
            <w:top w:w="0" w:type="dxa"/>
            <w:left w:w="108" w:type="dxa"/>
            <w:bottom w:w="0" w:type="dxa"/>
            <w:right w:w="108" w:type="dxa"/>
          </w:tblCellMar>
        </w:tblPrEx>
        <w:trPr>
          <w:trHeight w:val="454" w:hRule="atLeast"/>
          <w:tblHeader/>
        </w:trPr>
        <w:tc>
          <w:tcPr>
            <w:tcW w:w="10702" w:type="dxa"/>
            <w:gridSpan w:val="13"/>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一般公共预算基本支出表</w:t>
            </w:r>
          </w:p>
        </w:tc>
      </w:tr>
      <w:tr>
        <w:tblPrEx>
          <w:tblLayout w:type="fixed"/>
          <w:tblCellMar>
            <w:top w:w="0" w:type="dxa"/>
            <w:left w:w="108" w:type="dxa"/>
            <w:bottom w:w="0" w:type="dxa"/>
            <w:right w:w="108" w:type="dxa"/>
          </w:tblCellMar>
        </w:tblPrEx>
        <w:trPr>
          <w:trHeight w:val="454" w:hRule="atLeast"/>
          <w:tblHeader/>
        </w:trPr>
        <w:tc>
          <w:tcPr>
            <w:tcW w:w="3043" w:type="dxa"/>
            <w:gridSpan w:val="4"/>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部门：那曲市委宣传部</w:t>
            </w:r>
          </w:p>
        </w:tc>
        <w:tc>
          <w:tcPr>
            <w:tcW w:w="4601" w:type="dxa"/>
            <w:gridSpan w:val="5"/>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2019年度</w:t>
            </w:r>
          </w:p>
        </w:tc>
        <w:tc>
          <w:tcPr>
            <w:tcW w:w="3058" w:type="dxa"/>
            <w:gridSpan w:val="4"/>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单位：万元 </w:t>
            </w:r>
          </w:p>
        </w:tc>
      </w:tr>
      <w:tr>
        <w:tblPrEx>
          <w:tblLayout w:type="fixed"/>
          <w:tblCellMar>
            <w:top w:w="0" w:type="dxa"/>
            <w:left w:w="108" w:type="dxa"/>
            <w:bottom w:w="0" w:type="dxa"/>
            <w:right w:w="108" w:type="dxa"/>
          </w:tblCellMar>
        </w:tblPrEx>
        <w:trPr>
          <w:trHeight w:val="413" w:hRule="atLeast"/>
          <w:tblHeader/>
        </w:trPr>
        <w:tc>
          <w:tcPr>
            <w:tcW w:w="434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政府预算经济分类</w:t>
            </w:r>
          </w:p>
        </w:tc>
        <w:tc>
          <w:tcPr>
            <w:tcW w:w="6357"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部门预算经济分类</w:t>
            </w:r>
          </w:p>
        </w:tc>
      </w:tr>
      <w:tr>
        <w:tblPrEx>
          <w:tblLayout w:type="fixed"/>
          <w:tblCellMar>
            <w:top w:w="0" w:type="dxa"/>
            <w:left w:w="108" w:type="dxa"/>
            <w:bottom w:w="0" w:type="dxa"/>
            <w:right w:w="108" w:type="dxa"/>
          </w:tblCellMar>
        </w:tblPrEx>
        <w:trPr>
          <w:trHeight w:val="454" w:hRule="atLeast"/>
          <w:tblHeader/>
        </w:trPr>
        <w:tc>
          <w:tcPr>
            <w:tcW w:w="1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189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30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合计 </w:t>
            </w:r>
          </w:p>
        </w:tc>
        <w:tc>
          <w:tcPr>
            <w:tcW w:w="119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226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41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人员经费 </w:t>
            </w:r>
          </w:p>
        </w:tc>
        <w:tc>
          <w:tcPr>
            <w:tcW w:w="147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公用经费 </w:t>
            </w:r>
          </w:p>
        </w:tc>
      </w:tr>
      <w:tr>
        <w:tblPrEx>
          <w:tblLayout w:type="fixed"/>
          <w:tblCellMar>
            <w:top w:w="0" w:type="dxa"/>
            <w:left w:w="108" w:type="dxa"/>
            <w:bottom w:w="0" w:type="dxa"/>
            <w:right w:w="108" w:type="dxa"/>
          </w:tblCellMar>
        </w:tblPrEx>
        <w:trPr>
          <w:trHeight w:val="454" w:hRule="atLeast"/>
          <w:tblHeader/>
        </w:trPr>
        <w:tc>
          <w:tcPr>
            <w:tcW w:w="5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w:t>
            </w:r>
          </w:p>
        </w:tc>
        <w:tc>
          <w:tcPr>
            <w:tcW w:w="56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款</w:t>
            </w:r>
          </w:p>
        </w:tc>
        <w:tc>
          <w:tcPr>
            <w:tcW w:w="189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款</w:t>
            </w:r>
          </w:p>
        </w:tc>
        <w:tc>
          <w:tcPr>
            <w:tcW w:w="226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41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4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4" w:hRule="atLeast"/>
        </w:trPr>
        <w:tc>
          <w:tcPr>
            <w:tcW w:w="5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505</w:t>
            </w:r>
          </w:p>
        </w:tc>
        <w:tc>
          <w:tcPr>
            <w:tcW w:w="56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189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对事业单位经常性补助</w:t>
            </w:r>
          </w:p>
        </w:tc>
        <w:tc>
          <w:tcPr>
            <w:tcW w:w="1302" w:type="dxa"/>
            <w:tcBorders>
              <w:top w:val="nil"/>
              <w:left w:val="nil"/>
              <w:bottom w:val="single" w:color="auto" w:sz="4" w:space="0"/>
              <w:right w:val="single" w:color="auto" w:sz="4" w:space="0"/>
            </w:tcBorders>
            <w:vAlign w:val="center"/>
          </w:tcPr>
          <w:p>
            <w:pPr>
              <w:widowControl/>
              <w:rPr>
                <w:rFonts w:ascii="仿宋_GB2312" w:hAnsi="宋体" w:eastAsia="仿宋_GB2312" w:cs="宋体"/>
                <w:b/>
                <w:bCs/>
                <w:color w:val="000000"/>
                <w:kern w:val="0"/>
                <w:sz w:val="22"/>
                <w:szCs w:val="22"/>
              </w:rPr>
            </w:pP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工资福利支出</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1553.16</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301</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工资福利支出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1553.16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基本工资</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200.63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vMerge w:val="restart"/>
            <w:tcBorders>
              <w:top w:val="nil"/>
              <w:left w:val="nil"/>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津贴补贴</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706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个人取暖费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20.02</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奖金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75.56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伙食补助费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33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08</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机关事业单位基本养老保险缴费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196.45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职工基本医疗保险缴费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78.58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公务员医疗保险缴费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19.76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其他社会保障缴费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11.56</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住房公积金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110.7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2268"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医疗费（体检费）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8.6</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其他工资福利支出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92.3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商品和服务支出</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110.51</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302</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商品和服务支出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110.51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办公费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4.8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02</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印刷费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1.10</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1.65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07</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邮电费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1.59</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08</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取暖费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25.03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差旅费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26.40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维修（护）费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2.75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会议费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2.75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培训费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4.4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2.48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福利费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0.41</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公务用车运行维护费</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28.9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其他商品和服务支出</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8.25 </w:t>
            </w:r>
          </w:p>
        </w:tc>
      </w:tr>
      <w:tr>
        <w:tblPrEx>
          <w:tblLayout w:type="fixed"/>
          <w:tblCellMar>
            <w:top w:w="0" w:type="dxa"/>
            <w:left w:w="108" w:type="dxa"/>
            <w:bottom w:w="0" w:type="dxa"/>
            <w:right w:w="108" w:type="dxa"/>
          </w:tblCellMar>
        </w:tblPrEx>
        <w:trPr>
          <w:trHeight w:val="454" w:hRule="atLeast"/>
        </w:trPr>
        <w:tc>
          <w:tcPr>
            <w:tcW w:w="58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5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03</w:t>
            </w:r>
          </w:p>
        </w:tc>
        <w:tc>
          <w:tcPr>
            <w:tcW w:w="1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其他对事业单位补助</w:t>
            </w:r>
          </w:p>
        </w:tc>
        <w:tc>
          <w:tcPr>
            <w:tcW w:w="130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ind w:firstLine="429"/>
              <w:jc w:val="left"/>
            </w:pPr>
            <w:r>
              <w:rPr>
                <w:rFonts w:hint="eastAsia"/>
              </w:rPr>
              <w:t>15</w:t>
            </w:r>
          </w:p>
        </w:tc>
        <w:tc>
          <w:tcPr>
            <w:tcW w:w="58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303</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对个人和家庭的补助</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15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04</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抚恤金</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13.18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58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5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30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5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99</w:t>
            </w:r>
          </w:p>
        </w:tc>
        <w:tc>
          <w:tcPr>
            <w:tcW w:w="226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其他对个人和家庭的补助</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1.82 </w:t>
            </w:r>
          </w:p>
        </w:tc>
        <w:tc>
          <w:tcPr>
            <w:tcW w:w="147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  </w:t>
            </w:r>
          </w:p>
        </w:tc>
      </w:tr>
      <w:tr>
        <w:tblPrEx>
          <w:tblLayout w:type="fixed"/>
          <w:tblCellMar>
            <w:top w:w="0" w:type="dxa"/>
            <w:left w:w="108" w:type="dxa"/>
            <w:bottom w:w="0" w:type="dxa"/>
            <w:right w:w="108" w:type="dxa"/>
          </w:tblCellMar>
        </w:tblPrEx>
        <w:trPr>
          <w:trHeight w:val="454" w:hRule="atLeast"/>
        </w:trPr>
        <w:tc>
          <w:tcPr>
            <w:tcW w:w="304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合计</w:t>
            </w:r>
          </w:p>
        </w:tc>
        <w:tc>
          <w:tcPr>
            <w:tcW w:w="1302"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346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7"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1474" w:type="dxa"/>
            <w:tcBorders>
              <w:top w:val="nil"/>
              <w:left w:val="nil"/>
              <w:bottom w:val="single" w:color="auto" w:sz="4" w:space="0"/>
              <w:right w:val="single" w:color="auto" w:sz="4" w:space="0"/>
            </w:tcBorders>
            <w:vAlign w:val="center"/>
          </w:tcPr>
          <w:p>
            <w:pPr>
              <w:widowControl/>
              <w:ind w:right="42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r>
    </w:tbl>
    <w:p>
      <w:pPr>
        <w:jc w:val="left"/>
        <w:rPr>
          <w:rFonts w:ascii="黑体" w:eastAsia="黑体"/>
          <w:szCs w:val="21"/>
        </w:rPr>
      </w:pPr>
    </w:p>
    <w:p>
      <w:pPr>
        <w:widowControl/>
        <w:jc w:val="left"/>
        <w:rPr>
          <w:rFonts w:ascii="黑体" w:eastAsia="黑体"/>
          <w:szCs w:val="21"/>
        </w:rPr>
        <w:sectPr>
          <w:pgSz w:w="11906" w:h="16838"/>
          <w:pgMar w:top="1440" w:right="663" w:bottom="1440" w:left="663" w:header="851" w:footer="992" w:gutter="0"/>
          <w:cols w:space="720" w:num="1"/>
          <w:docGrid w:type="lines" w:linePitch="312" w:charSpace="0"/>
        </w:sectPr>
      </w:pPr>
    </w:p>
    <w:tbl>
      <w:tblPr>
        <w:tblStyle w:val="11"/>
        <w:tblW w:w="14850" w:type="dxa"/>
        <w:tblInd w:w="0" w:type="dxa"/>
        <w:tblLayout w:type="fixed"/>
        <w:tblCellMar>
          <w:top w:w="0" w:type="dxa"/>
          <w:left w:w="108" w:type="dxa"/>
          <w:bottom w:w="0" w:type="dxa"/>
          <w:right w:w="108" w:type="dxa"/>
        </w:tblCellMar>
      </w:tblPr>
      <w:tblGrid>
        <w:gridCol w:w="1137"/>
        <w:gridCol w:w="813"/>
        <w:gridCol w:w="344"/>
        <w:gridCol w:w="664"/>
        <w:gridCol w:w="567"/>
        <w:gridCol w:w="425"/>
        <w:gridCol w:w="766"/>
        <w:gridCol w:w="220"/>
        <w:gridCol w:w="855"/>
        <w:gridCol w:w="101"/>
        <w:gridCol w:w="529"/>
        <w:gridCol w:w="217"/>
        <w:gridCol w:w="425"/>
        <w:gridCol w:w="425"/>
        <w:gridCol w:w="208"/>
        <w:gridCol w:w="499"/>
        <w:gridCol w:w="300"/>
        <w:gridCol w:w="407"/>
        <w:gridCol w:w="312"/>
        <w:gridCol w:w="535"/>
        <w:gridCol w:w="267"/>
        <w:gridCol w:w="443"/>
        <w:gridCol w:w="86"/>
        <w:gridCol w:w="639"/>
        <w:gridCol w:w="633"/>
        <w:gridCol w:w="56"/>
        <w:gridCol w:w="743"/>
        <w:gridCol w:w="342"/>
        <w:gridCol w:w="401"/>
        <w:gridCol w:w="802"/>
        <w:gridCol w:w="689"/>
      </w:tblGrid>
      <w:tr>
        <w:tblPrEx>
          <w:tblLayout w:type="fixed"/>
          <w:tblCellMar>
            <w:top w:w="0" w:type="dxa"/>
            <w:left w:w="108" w:type="dxa"/>
            <w:bottom w:w="0" w:type="dxa"/>
            <w:right w:w="108" w:type="dxa"/>
          </w:tblCellMar>
        </w:tblPrEx>
        <w:trPr>
          <w:trHeight w:val="270" w:hRule="atLeast"/>
        </w:trPr>
        <w:tc>
          <w:tcPr>
            <w:tcW w:w="1137"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57"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23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9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176" w:type="dxa"/>
            <w:gridSpan w:val="3"/>
            <w:tcBorders>
              <w:top w:val="nil"/>
              <w:left w:val="nil"/>
              <w:bottom w:val="nil"/>
              <w:right w:val="nil"/>
            </w:tcBorders>
            <w:vAlign w:val="center"/>
          </w:tcPr>
          <w:p>
            <w:pPr>
              <w:widowControl/>
              <w:jc w:val="left"/>
              <w:rPr>
                <w:rFonts w:ascii="宋体" w:hAnsi="宋体" w:cs="宋体"/>
                <w:color w:val="000000"/>
                <w:kern w:val="0"/>
                <w:sz w:val="22"/>
                <w:szCs w:val="22"/>
              </w:rPr>
            </w:pPr>
          </w:p>
        </w:tc>
        <w:tc>
          <w:tcPr>
            <w:tcW w:w="52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642"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3"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79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71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802"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52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633"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799"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342"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892"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部门公开04表</w:t>
            </w:r>
          </w:p>
        </w:tc>
      </w:tr>
      <w:tr>
        <w:tblPrEx>
          <w:tblLayout w:type="fixed"/>
          <w:tblCellMar>
            <w:top w:w="0" w:type="dxa"/>
            <w:left w:w="108" w:type="dxa"/>
            <w:bottom w:w="0" w:type="dxa"/>
            <w:right w:w="108" w:type="dxa"/>
          </w:tblCellMar>
        </w:tblPrEx>
        <w:trPr>
          <w:trHeight w:val="510" w:hRule="atLeast"/>
        </w:trPr>
        <w:tc>
          <w:tcPr>
            <w:tcW w:w="14850" w:type="dxa"/>
            <w:gridSpan w:val="31"/>
            <w:tcBorders>
              <w:top w:val="nil"/>
              <w:left w:val="nil"/>
              <w:bottom w:val="nil"/>
              <w:right w:val="nil"/>
            </w:tcBorders>
            <w:vAlign w:val="center"/>
          </w:tcPr>
          <w:p>
            <w:pPr>
              <w:widowControl/>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一般公共预算“三公”经费支出表</w:t>
            </w:r>
          </w:p>
        </w:tc>
      </w:tr>
      <w:tr>
        <w:tblPrEx>
          <w:tblLayout w:type="fixed"/>
          <w:tblCellMar>
            <w:top w:w="0" w:type="dxa"/>
            <w:left w:w="108" w:type="dxa"/>
            <w:bottom w:w="0" w:type="dxa"/>
            <w:right w:w="108" w:type="dxa"/>
          </w:tblCellMar>
        </w:tblPrEx>
        <w:trPr>
          <w:trHeight w:val="555" w:hRule="atLeast"/>
        </w:trPr>
        <w:tc>
          <w:tcPr>
            <w:tcW w:w="4716" w:type="dxa"/>
            <w:gridSpan w:val="7"/>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部门：那曲市委宣传部</w:t>
            </w:r>
          </w:p>
        </w:tc>
        <w:tc>
          <w:tcPr>
            <w:tcW w:w="8643" w:type="dxa"/>
            <w:gridSpan w:val="2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2019年度</w:t>
            </w:r>
          </w:p>
        </w:tc>
        <w:tc>
          <w:tcPr>
            <w:tcW w:w="1491"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Layout w:type="fixed"/>
          <w:tblCellMar>
            <w:top w:w="0" w:type="dxa"/>
            <w:left w:w="108" w:type="dxa"/>
            <w:bottom w:w="0" w:type="dxa"/>
            <w:right w:w="108" w:type="dxa"/>
          </w:tblCellMar>
        </w:tblPrEx>
        <w:trPr>
          <w:trHeight w:val="555" w:hRule="atLeast"/>
        </w:trPr>
        <w:tc>
          <w:tcPr>
            <w:tcW w:w="579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2018年预算数</w:t>
            </w:r>
          </w:p>
        </w:tc>
        <w:tc>
          <w:tcPr>
            <w:tcW w:w="4668" w:type="dxa"/>
            <w:gridSpan w:val="1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2018年预算执行数</w:t>
            </w:r>
          </w:p>
        </w:tc>
        <w:tc>
          <w:tcPr>
            <w:tcW w:w="4391"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2019年预算数</w:t>
            </w:r>
          </w:p>
        </w:tc>
      </w:tr>
      <w:tr>
        <w:tblPrEx>
          <w:tblLayout w:type="fixed"/>
          <w:tblCellMar>
            <w:top w:w="0" w:type="dxa"/>
            <w:left w:w="108" w:type="dxa"/>
            <w:bottom w:w="0" w:type="dxa"/>
            <w:right w:w="108" w:type="dxa"/>
          </w:tblCellMar>
        </w:tblPrEx>
        <w:trPr>
          <w:trHeight w:val="555" w:hRule="atLeast"/>
        </w:trPr>
        <w:tc>
          <w:tcPr>
            <w:tcW w:w="113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1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986"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847"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5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261"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71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c>
          <w:tcPr>
            <w:tcW w:w="72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68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因公出国(境)费</w:t>
            </w:r>
          </w:p>
        </w:tc>
        <w:tc>
          <w:tcPr>
            <w:tcW w:w="2288"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公务用车购置及运行费</w:t>
            </w:r>
          </w:p>
        </w:tc>
        <w:tc>
          <w:tcPr>
            <w:tcW w:w="68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trPr>
        <w:tc>
          <w:tcPr>
            <w:tcW w:w="11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1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0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99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98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4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84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8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小计</w:t>
            </w:r>
          </w:p>
        </w:tc>
        <w:tc>
          <w:tcPr>
            <w:tcW w:w="7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公务用车购置费</w:t>
            </w:r>
          </w:p>
        </w:tc>
        <w:tc>
          <w:tcPr>
            <w:tcW w:w="80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公务用车运行费</w:t>
            </w:r>
          </w:p>
        </w:tc>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3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97.8</w:t>
            </w:r>
          </w:p>
        </w:tc>
        <w:tc>
          <w:tcPr>
            <w:tcW w:w="81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0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99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98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86.5</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11.3</w:t>
            </w:r>
          </w:p>
        </w:tc>
        <w:tc>
          <w:tcPr>
            <w:tcW w:w="847" w:type="dxa"/>
            <w:gridSpan w:val="3"/>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p>
        </w:tc>
        <w:tc>
          <w:tcPr>
            <w:tcW w:w="85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46.4</w:t>
            </w:r>
          </w:p>
        </w:tc>
        <w:tc>
          <w:tcPr>
            <w:tcW w:w="70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847"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43</w:t>
            </w:r>
          </w:p>
        </w:tc>
        <w:tc>
          <w:tcPr>
            <w:tcW w:w="71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3.4</w:t>
            </w:r>
          </w:p>
        </w:tc>
        <w:tc>
          <w:tcPr>
            <w:tcW w:w="72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73.38</w:t>
            </w:r>
          </w:p>
        </w:tc>
        <w:tc>
          <w:tcPr>
            <w:tcW w:w="68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4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743"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80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65.9</w:t>
            </w:r>
          </w:p>
        </w:tc>
        <w:tc>
          <w:tcPr>
            <w:tcW w:w="6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7.48</w:t>
            </w:r>
          </w:p>
        </w:tc>
      </w:tr>
      <w:tr>
        <w:tblPrEx>
          <w:tblLayout w:type="fixed"/>
          <w:tblCellMar>
            <w:top w:w="0" w:type="dxa"/>
            <w:left w:w="108" w:type="dxa"/>
            <w:bottom w:w="0" w:type="dxa"/>
            <w:right w:w="108" w:type="dxa"/>
          </w:tblCellMar>
        </w:tblPrEx>
        <w:trPr>
          <w:trHeight w:val="1294" w:hRule="atLeast"/>
        </w:trPr>
        <w:tc>
          <w:tcPr>
            <w:tcW w:w="14850" w:type="dxa"/>
            <w:gridSpan w:val="31"/>
            <w:tcBorders>
              <w:top w:val="single" w:color="auto" w:sz="4" w:space="0"/>
              <w:left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注：1.如此表无数据，则以空表形式公开，请不要删除此表；</w:t>
            </w:r>
          </w:p>
          <w:p>
            <w:pPr>
              <w:widowControl/>
              <w:jc w:val="left"/>
              <w:rPr>
                <w:rFonts w:ascii="宋体" w:hAnsi="宋体" w:cs="宋体"/>
                <w:color w:val="000000"/>
                <w:kern w:val="0"/>
                <w:sz w:val="22"/>
                <w:szCs w:val="22"/>
              </w:rPr>
            </w:pPr>
            <w:r>
              <w:rPr>
                <w:rFonts w:hint="eastAsia" w:ascii="仿宋_GB2312" w:hAnsi="宋体" w:eastAsia="仿宋_GB2312" w:cs="宋体"/>
                <w:color w:val="000000"/>
                <w:kern w:val="0"/>
                <w:sz w:val="22"/>
                <w:szCs w:val="22"/>
              </w:rPr>
              <w:t>　  2.如此表为空表，请说明原因。</w:t>
            </w:r>
          </w:p>
        </w:tc>
      </w:tr>
    </w:tbl>
    <w:p>
      <w:pPr>
        <w:jc w:val="left"/>
        <w:rPr>
          <w:rFonts w:ascii="黑体" w:eastAsia="黑体"/>
          <w:szCs w:val="21"/>
        </w:rPr>
      </w:pPr>
    </w:p>
    <w:p>
      <w:pPr>
        <w:jc w:val="left"/>
        <w:rPr>
          <w:rFonts w:ascii="黑体" w:eastAsia="黑体"/>
          <w:sz w:val="32"/>
          <w:szCs w:val="32"/>
        </w:rPr>
        <w:sectPr>
          <w:pgSz w:w="16838" w:h="11906" w:orient="landscape"/>
          <w:pgMar w:top="1797" w:right="1165" w:bottom="1797" w:left="1157" w:header="851" w:footer="992" w:gutter="0"/>
          <w:cols w:space="720" w:num="1"/>
          <w:docGrid w:type="lines" w:linePitch="312" w:charSpace="0"/>
        </w:sectPr>
      </w:pPr>
    </w:p>
    <w:tbl>
      <w:tblPr>
        <w:tblStyle w:val="11"/>
        <w:tblW w:w="8522" w:type="dxa"/>
        <w:tblInd w:w="0" w:type="dxa"/>
        <w:tblLayout w:type="fixed"/>
        <w:tblCellMar>
          <w:top w:w="0" w:type="dxa"/>
          <w:left w:w="108" w:type="dxa"/>
          <w:bottom w:w="0" w:type="dxa"/>
          <w:right w:w="108" w:type="dxa"/>
        </w:tblCellMar>
      </w:tblPr>
      <w:tblGrid>
        <w:gridCol w:w="1733"/>
        <w:gridCol w:w="1733"/>
        <w:gridCol w:w="1156"/>
        <w:gridCol w:w="1950"/>
        <w:gridCol w:w="1950"/>
      </w:tblGrid>
      <w:tr>
        <w:tblPrEx>
          <w:tblLayout w:type="fixed"/>
          <w:tblCellMar>
            <w:top w:w="0" w:type="dxa"/>
            <w:left w:w="108" w:type="dxa"/>
            <w:bottom w:w="0" w:type="dxa"/>
            <w:right w:w="108" w:type="dxa"/>
          </w:tblCellMar>
        </w:tblPrEx>
        <w:trPr>
          <w:trHeight w:val="315" w:hRule="atLeast"/>
        </w:trPr>
        <w:tc>
          <w:tcPr>
            <w:tcW w:w="173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73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156"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3900" w:type="dxa"/>
            <w:gridSpan w:val="2"/>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部门公开05表</w:t>
            </w:r>
          </w:p>
        </w:tc>
      </w:tr>
      <w:tr>
        <w:tblPrEx>
          <w:tblLayout w:type="fixed"/>
          <w:tblCellMar>
            <w:top w:w="0" w:type="dxa"/>
            <w:left w:w="108" w:type="dxa"/>
            <w:bottom w:w="0" w:type="dxa"/>
            <w:right w:w="108" w:type="dxa"/>
          </w:tblCellMar>
        </w:tblPrEx>
        <w:trPr>
          <w:trHeight w:val="720" w:hRule="atLeast"/>
        </w:trPr>
        <w:tc>
          <w:tcPr>
            <w:tcW w:w="8522" w:type="dxa"/>
            <w:gridSpan w:val="5"/>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政府性基金预算支出表</w:t>
            </w:r>
          </w:p>
        </w:tc>
      </w:tr>
      <w:tr>
        <w:tblPrEx>
          <w:tblLayout w:type="fixed"/>
          <w:tblCellMar>
            <w:top w:w="0" w:type="dxa"/>
            <w:left w:w="108" w:type="dxa"/>
            <w:bottom w:w="0" w:type="dxa"/>
            <w:right w:w="108" w:type="dxa"/>
          </w:tblCellMar>
        </w:tblPrEx>
        <w:trPr>
          <w:trHeight w:val="570" w:hRule="atLeast"/>
        </w:trPr>
        <w:tc>
          <w:tcPr>
            <w:tcW w:w="3466"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部门：那曲市委员会宣传部</w:t>
            </w:r>
          </w:p>
        </w:tc>
        <w:tc>
          <w:tcPr>
            <w:tcW w:w="1156" w:type="dxa"/>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900"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80" w:hRule="atLeast"/>
        </w:trPr>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科目编码</w:t>
            </w:r>
          </w:p>
        </w:tc>
        <w:tc>
          <w:tcPr>
            <w:tcW w:w="173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科目名称　</w:t>
            </w:r>
          </w:p>
        </w:tc>
        <w:tc>
          <w:tcPr>
            <w:tcW w:w="505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本年政府性基金预算财政拨款支出</w:t>
            </w:r>
          </w:p>
        </w:tc>
      </w:tr>
      <w:tr>
        <w:tblPrEx>
          <w:tblLayout w:type="fixed"/>
          <w:tblCellMar>
            <w:top w:w="0" w:type="dxa"/>
            <w:left w:w="108" w:type="dxa"/>
            <w:bottom w:w="0" w:type="dxa"/>
            <w:right w:w="108" w:type="dxa"/>
          </w:tblCellMar>
        </w:tblPrEx>
        <w:trPr>
          <w:trHeight w:val="480" w:hRule="atLeast"/>
        </w:trPr>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73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基本支出</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项目支出</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733"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3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34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1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c>
          <w:tcPr>
            <w:tcW w:w="19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w:t>
            </w:r>
          </w:p>
        </w:tc>
      </w:tr>
      <w:tr>
        <w:tblPrEx>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注：1.如此表无数据，则以空表形式公开，请不要删除此表；</w:t>
            </w:r>
          </w:p>
        </w:tc>
      </w:tr>
      <w:tr>
        <w:tblPrEx>
          <w:tblLayout w:type="fixed"/>
          <w:tblCellMar>
            <w:top w:w="0" w:type="dxa"/>
            <w:left w:w="108" w:type="dxa"/>
            <w:bottom w:w="0" w:type="dxa"/>
            <w:right w:w="108" w:type="dxa"/>
          </w:tblCellMar>
        </w:tblPrEx>
        <w:trPr>
          <w:trHeight w:val="420"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2.如此表为空表，请说明原因。</w:t>
            </w:r>
          </w:p>
        </w:tc>
      </w:tr>
      <w:tr>
        <w:tblPrEx>
          <w:tblLayout w:type="fixed"/>
          <w:tblCellMar>
            <w:top w:w="0" w:type="dxa"/>
            <w:left w:w="108" w:type="dxa"/>
            <w:bottom w:w="0" w:type="dxa"/>
            <w:right w:w="108" w:type="dxa"/>
          </w:tblCellMar>
        </w:tblPrEx>
        <w:trPr>
          <w:trHeight w:val="789" w:hRule="atLeast"/>
        </w:trPr>
        <w:tc>
          <w:tcPr>
            <w:tcW w:w="8522" w:type="dxa"/>
            <w:gridSpan w:val="5"/>
            <w:tcBorders>
              <w:top w:val="nil"/>
              <w:left w:val="nil"/>
              <w:bottom w:val="nil"/>
              <w:right w:val="nil"/>
            </w:tcBorders>
            <w:vAlign w:val="center"/>
          </w:tcPr>
          <w:p>
            <w:pPr>
              <w:widowControl/>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说明：我单位2019年度没有安排政府性基金预算支出。</w:t>
            </w:r>
          </w:p>
        </w:tc>
      </w:tr>
    </w:tbl>
    <w:p>
      <w:pPr>
        <w:jc w:val="left"/>
        <w:rPr>
          <w:rFonts w:ascii="黑体" w:eastAsia="黑体"/>
          <w:sz w:val="24"/>
        </w:rPr>
      </w:pPr>
    </w:p>
    <w:p>
      <w:pPr>
        <w:jc w:val="left"/>
        <w:rPr>
          <w:rFonts w:ascii="黑体" w:eastAsia="黑体"/>
          <w:sz w:val="24"/>
        </w:rPr>
      </w:pPr>
    </w:p>
    <w:p>
      <w:pPr>
        <w:widowControl/>
        <w:jc w:val="left"/>
        <w:rPr>
          <w:rFonts w:ascii="黑体" w:eastAsia="黑体"/>
          <w:sz w:val="24"/>
        </w:rPr>
      </w:pPr>
      <w:r>
        <w:rPr>
          <w:rFonts w:ascii="黑体" w:eastAsia="黑体"/>
          <w:sz w:val="24"/>
        </w:rPr>
        <w:br w:type="page"/>
      </w:r>
    </w:p>
    <w:tbl>
      <w:tblPr>
        <w:tblStyle w:val="11"/>
        <w:tblW w:w="8428" w:type="dxa"/>
        <w:tblInd w:w="94" w:type="dxa"/>
        <w:tblLayout w:type="fixed"/>
        <w:tblCellMar>
          <w:top w:w="0" w:type="dxa"/>
          <w:left w:w="108" w:type="dxa"/>
          <w:bottom w:w="0" w:type="dxa"/>
          <w:right w:w="108" w:type="dxa"/>
        </w:tblCellMar>
      </w:tblPr>
      <w:tblGrid>
        <w:gridCol w:w="2929"/>
        <w:gridCol w:w="986"/>
        <w:gridCol w:w="2757"/>
        <w:gridCol w:w="1756"/>
      </w:tblGrid>
      <w:tr>
        <w:tblPrEx>
          <w:tblLayout w:type="fixed"/>
          <w:tblCellMar>
            <w:top w:w="0" w:type="dxa"/>
            <w:left w:w="108" w:type="dxa"/>
            <w:bottom w:w="0" w:type="dxa"/>
            <w:right w:w="108" w:type="dxa"/>
          </w:tblCellMar>
        </w:tblPrEx>
        <w:trPr>
          <w:trHeight w:val="600" w:hRule="atLeast"/>
        </w:trPr>
        <w:tc>
          <w:tcPr>
            <w:tcW w:w="2929"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986"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2757" w:type="dxa"/>
            <w:tcBorders>
              <w:top w:val="nil"/>
              <w:left w:val="nil"/>
              <w:bottom w:val="nil"/>
              <w:right w:val="nil"/>
            </w:tcBorders>
            <w:vAlign w:val="center"/>
          </w:tcPr>
          <w:p>
            <w:pPr>
              <w:widowControl/>
              <w:jc w:val="left"/>
              <w:rPr>
                <w:rFonts w:ascii="宋体" w:hAnsi="宋体" w:cs="宋体"/>
                <w:color w:val="000000"/>
                <w:kern w:val="0"/>
                <w:sz w:val="22"/>
                <w:szCs w:val="22"/>
              </w:rPr>
            </w:pPr>
          </w:p>
        </w:tc>
        <w:tc>
          <w:tcPr>
            <w:tcW w:w="1756" w:type="dxa"/>
            <w:tcBorders>
              <w:top w:val="nil"/>
              <w:left w:val="nil"/>
              <w:bottom w:val="nil"/>
              <w:right w:val="nil"/>
            </w:tcBorders>
            <w:vAlign w:val="center"/>
          </w:tcPr>
          <w:p>
            <w:pPr>
              <w:widowControl/>
              <w:jc w:val="right"/>
              <w:rPr>
                <w:rFonts w:ascii="黑体" w:hAnsi="黑体" w:eastAsia="黑体" w:cs="宋体"/>
                <w:color w:val="000000"/>
                <w:kern w:val="0"/>
                <w:sz w:val="22"/>
                <w:szCs w:val="22"/>
              </w:rPr>
            </w:pPr>
            <w:r>
              <w:rPr>
                <w:rFonts w:hint="eastAsia" w:ascii="黑体" w:hAnsi="黑体" w:eastAsia="黑体" w:cs="宋体"/>
                <w:color w:val="000000"/>
                <w:kern w:val="0"/>
                <w:sz w:val="22"/>
                <w:szCs w:val="22"/>
              </w:rPr>
              <w:t xml:space="preserve"> 部门公开06表 </w:t>
            </w:r>
          </w:p>
        </w:tc>
      </w:tr>
      <w:tr>
        <w:tblPrEx>
          <w:tblLayout w:type="fixed"/>
          <w:tblCellMar>
            <w:top w:w="0" w:type="dxa"/>
            <w:left w:w="108" w:type="dxa"/>
            <w:bottom w:w="0" w:type="dxa"/>
            <w:right w:w="108" w:type="dxa"/>
          </w:tblCellMar>
        </w:tblPrEx>
        <w:trPr>
          <w:trHeight w:val="675" w:hRule="atLeast"/>
        </w:trPr>
        <w:tc>
          <w:tcPr>
            <w:tcW w:w="8428" w:type="dxa"/>
            <w:gridSpan w:val="4"/>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部门收支总表</w:t>
            </w:r>
          </w:p>
        </w:tc>
      </w:tr>
      <w:tr>
        <w:tblPrEx>
          <w:tblLayout w:type="fixed"/>
          <w:tblCellMar>
            <w:top w:w="0" w:type="dxa"/>
            <w:left w:w="108" w:type="dxa"/>
            <w:bottom w:w="0" w:type="dxa"/>
            <w:right w:w="108" w:type="dxa"/>
          </w:tblCellMar>
        </w:tblPrEx>
        <w:trPr>
          <w:trHeight w:val="600" w:hRule="atLeast"/>
        </w:trPr>
        <w:tc>
          <w:tcPr>
            <w:tcW w:w="2929"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w:t>
            </w:r>
            <w:r>
              <w:rPr>
                <w:rFonts w:hint="eastAsia" w:ascii="仿宋_GB2312" w:hAnsi="宋体" w:eastAsia="仿宋_GB2312" w:cs="宋体"/>
                <w:color w:val="000000"/>
                <w:kern w:val="0"/>
                <w:sz w:val="24"/>
              </w:rPr>
              <w:t>那曲市委员会宣传部</w:t>
            </w:r>
          </w:p>
        </w:tc>
        <w:tc>
          <w:tcPr>
            <w:tcW w:w="3743" w:type="dxa"/>
            <w:gridSpan w:val="2"/>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2019年度</w:t>
            </w:r>
          </w:p>
        </w:tc>
        <w:tc>
          <w:tcPr>
            <w:tcW w:w="1756" w:type="dxa"/>
            <w:tcBorders>
              <w:top w:val="nil"/>
              <w:left w:val="nil"/>
              <w:bottom w:val="nil"/>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单位：万元 </w:t>
            </w:r>
          </w:p>
        </w:tc>
      </w:tr>
      <w:tr>
        <w:tblPrEx>
          <w:tblLayout w:type="fixed"/>
          <w:tblCellMar>
            <w:top w:w="0" w:type="dxa"/>
            <w:left w:w="108" w:type="dxa"/>
            <w:bottom w:w="0" w:type="dxa"/>
            <w:right w:w="108" w:type="dxa"/>
          </w:tblCellMar>
        </w:tblPrEx>
        <w:trPr>
          <w:trHeight w:val="480" w:hRule="atLeast"/>
        </w:trPr>
        <w:tc>
          <w:tcPr>
            <w:tcW w:w="39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收入</w:t>
            </w:r>
          </w:p>
        </w:tc>
        <w:tc>
          <w:tcPr>
            <w:tcW w:w="451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支出</w:t>
            </w:r>
          </w:p>
        </w:tc>
      </w:tr>
      <w:tr>
        <w:tblPrEx>
          <w:tblLayout w:type="fixed"/>
          <w:tblCellMar>
            <w:top w:w="0" w:type="dxa"/>
            <w:left w:w="108" w:type="dxa"/>
            <w:bottom w:w="0" w:type="dxa"/>
            <w:right w:w="108" w:type="dxa"/>
          </w:tblCellMar>
        </w:tblPrEx>
        <w:trPr>
          <w:trHeight w:val="48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预算数 </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项目</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预算数 </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一、一般公共预算拨款收入</w:t>
            </w:r>
          </w:p>
        </w:tc>
        <w:tc>
          <w:tcPr>
            <w:tcW w:w="98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（一）一般公共服务支出</w:t>
            </w:r>
          </w:p>
        </w:tc>
        <w:tc>
          <w:tcPr>
            <w:tcW w:w="1756" w:type="dxa"/>
            <w:tcBorders>
              <w:top w:val="nil"/>
              <w:left w:val="nil"/>
              <w:bottom w:val="single" w:color="auto" w:sz="4" w:space="0"/>
              <w:right w:val="single" w:color="auto" w:sz="4" w:space="0"/>
            </w:tcBorders>
            <w:vAlign w:val="center"/>
          </w:tcPr>
          <w:p>
            <w:pPr>
              <w:widowControl/>
              <w:tabs>
                <w:tab w:val="left" w:pos="539"/>
                <w:tab w:val="right" w:pos="112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1535.45</w:t>
            </w: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二、政府性基金预算拨款收入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（二）社会保障和就业支出</w:t>
            </w:r>
          </w:p>
        </w:tc>
        <w:tc>
          <w:tcPr>
            <w:tcW w:w="1756" w:type="dxa"/>
            <w:tcBorders>
              <w:top w:val="nil"/>
              <w:left w:val="nil"/>
              <w:bottom w:val="single" w:color="auto" w:sz="4" w:space="0"/>
              <w:right w:val="single" w:color="auto" w:sz="4" w:space="0"/>
            </w:tcBorders>
            <w:vAlign w:val="center"/>
          </w:tcPr>
          <w:p>
            <w:pPr>
              <w:widowControl/>
              <w:tabs>
                <w:tab w:val="left" w:pos="226"/>
                <w:tab w:val="right" w:pos="112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209.63</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三、事业收入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（三）医疗卫生与计划生育支出</w:t>
            </w:r>
          </w:p>
        </w:tc>
        <w:tc>
          <w:tcPr>
            <w:tcW w:w="1756" w:type="dxa"/>
            <w:tcBorders>
              <w:top w:val="nil"/>
              <w:left w:val="nil"/>
              <w:bottom w:val="single" w:color="auto" w:sz="4" w:space="0"/>
              <w:right w:val="single" w:color="auto" w:sz="4" w:space="0"/>
            </w:tcBorders>
            <w:vAlign w:val="center"/>
          </w:tcPr>
          <w:p>
            <w:pPr>
              <w:widowControl/>
              <w:tabs>
                <w:tab w:val="center" w:pos="390"/>
                <w:tab w:val="right" w:pos="1011"/>
              </w:tabs>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98.34</w:t>
            </w:r>
            <w:r>
              <w:rPr>
                <w:rFonts w:hint="eastAsia" w:ascii="仿宋_GB2312" w:hAnsi="宋体" w:eastAsia="仿宋_GB2312" w:cs="宋体"/>
                <w:color w:val="000000"/>
                <w:kern w:val="0"/>
                <w:sz w:val="22"/>
                <w:szCs w:val="22"/>
              </w:rPr>
              <w:tab/>
            </w: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四、事业单位经营收入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（四）住房保障支出</w:t>
            </w:r>
          </w:p>
        </w:tc>
        <w:tc>
          <w:tcPr>
            <w:tcW w:w="175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110.7</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五、其他收入</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（五）公益性岗位补助公益性岗位补助</w:t>
            </w:r>
          </w:p>
        </w:tc>
        <w:tc>
          <w:tcPr>
            <w:tcW w:w="1756"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5.15    </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本年收入合计</w:t>
            </w:r>
          </w:p>
        </w:tc>
        <w:tc>
          <w:tcPr>
            <w:tcW w:w="98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本年支出合计</w:t>
            </w:r>
          </w:p>
        </w:tc>
        <w:tc>
          <w:tcPr>
            <w:tcW w:w="1756" w:type="dxa"/>
            <w:tcBorders>
              <w:top w:val="nil"/>
              <w:left w:val="nil"/>
              <w:bottom w:val="single" w:color="auto" w:sz="4" w:space="0"/>
              <w:right w:val="single" w:color="auto" w:sz="4" w:space="0"/>
            </w:tcBorders>
            <w:vAlign w:val="center"/>
          </w:tcPr>
          <w:p>
            <w:pPr>
              <w:widowControl/>
              <w:tabs>
                <w:tab w:val="left" w:pos="539"/>
                <w:tab w:val="right" w:pos="1121"/>
              </w:tabs>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用事业基金弥补收支差额</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上年结转</w:t>
            </w:r>
          </w:p>
        </w:tc>
        <w:tc>
          <w:tcPr>
            <w:tcW w:w="9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结转下年</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570" w:hRule="atLeast"/>
        </w:trPr>
        <w:tc>
          <w:tcPr>
            <w:tcW w:w="292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收 入 总 计</w:t>
            </w:r>
          </w:p>
        </w:tc>
        <w:tc>
          <w:tcPr>
            <w:tcW w:w="986"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c>
          <w:tcPr>
            <w:tcW w:w="27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支出总计</w:t>
            </w:r>
          </w:p>
        </w:tc>
        <w:tc>
          <w:tcPr>
            <w:tcW w:w="17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r>
    </w:tbl>
    <w:p>
      <w:pPr>
        <w:jc w:val="left"/>
        <w:rPr>
          <w:rFonts w:ascii="黑体" w:eastAsia="黑体"/>
          <w:sz w:val="24"/>
        </w:rPr>
      </w:pPr>
    </w:p>
    <w:p>
      <w:pPr>
        <w:jc w:val="left"/>
        <w:rPr>
          <w:rFonts w:ascii="黑体" w:eastAsia="黑体"/>
          <w:sz w:val="24"/>
        </w:rPr>
      </w:pPr>
    </w:p>
    <w:p>
      <w:pPr>
        <w:jc w:val="left"/>
        <w:rPr>
          <w:rFonts w:ascii="黑体" w:eastAsia="黑体"/>
          <w:sz w:val="24"/>
        </w:rPr>
        <w:sectPr>
          <w:pgSz w:w="11906" w:h="16838"/>
          <w:pgMar w:top="1440" w:right="1800" w:bottom="1440" w:left="1800" w:header="851" w:footer="992" w:gutter="0"/>
          <w:cols w:space="720" w:num="1"/>
          <w:docGrid w:type="lines" w:linePitch="312" w:charSpace="0"/>
        </w:sectPr>
      </w:pPr>
    </w:p>
    <w:tbl>
      <w:tblPr>
        <w:tblStyle w:val="11"/>
        <w:tblW w:w="14849" w:type="dxa"/>
        <w:tblInd w:w="0" w:type="dxa"/>
        <w:tblLayout w:type="fixed"/>
        <w:tblCellMar>
          <w:top w:w="0" w:type="dxa"/>
          <w:left w:w="108" w:type="dxa"/>
          <w:bottom w:w="0" w:type="dxa"/>
          <w:right w:w="108" w:type="dxa"/>
        </w:tblCellMar>
      </w:tblPr>
      <w:tblGrid>
        <w:gridCol w:w="1099"/>
        <w:gridCol w:w="4187"/>
        <w:gridCol w:w="437"/>
        <w:gridCol w:w="778"/>
        <w:gridCol w:w="431"/>
        <w:gridCol w:w="422"/>
        <w:gridCol w:w="469"/>
        <w:gridCol w:w="656"/>
        <w:gridCol w:w="683"/>
        <w:gridCol w:w="448"/>
        <w:gridCol w:w="270"/>
        <w:gridCol w:w="437"/>
        <w:gridCol w:w="285"/>
        <w:gridCol w:w="728"/>
        <w:gridCol w:w="725"/>
        <w:gridCol w:w="953"/>
        <w:gridCol w:w="710"/>
        <w:gridCol w:w="1131"/>
      </w:tblGrid>
      <w:tr>
        <w:tblPrEx>
          <w:tblLayout w:type="fixed"/>
          <w:tblCellMar>
            <w:top w:w="0" w:type="dxa"/>
            <w:left w:w="108" w:type="dxa"/>
            <w:bottom w:w="0" w:type="dxa"/>
            <w:right w:w="108" w:type="dxa"/>
          </w:tblCellMar>
        </w:tblPrEx>
        <w:trPr>
          <w:trHeight w:val="465" w:hRule="atLeast"/>
          <w:tblHeader/>
        </w:trPr>
        <w:tc>
          <w:tcPr>
            <w:tcW w:w="1099"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4624"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209"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891"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339"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718"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8"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725"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794"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部门公开07表</w:t>
            </w:r>
          </w:p>
        </w:tc>
      </w:tr>
      <w:tr>
        <w:tblPrEx>
          <w:tblLayout w:type="fixed"/>
          <w:tblCellMar>
            <w:top w:w="0" w:type="dxa"/>
            <w:left w:w="108" w:type="dxa"/>
            <w:bottom w:w="0" w:type="dxa"/>
            <w:right w:w="108" w:type="dxa"/>
          </w:tblCellMar>
        </w:tblPrEx>
        <w:trPr>
          <w:trHeight w:val="642" w:hRule="atLeast"/>
          <w:tblHeader/>
        </w:trPr>
        <w:tc>
          <w:tcPr>
            <w:tcW w:w="14849" w:type="dxa"/>
            <w:gridSpan w:val="18"/>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部门收入总表</w:t>
            </w:r>
          </w:p>
        </w:tc>
      </w:tr>
      <w:tr>
        <w:tblPrEx>
          <w:tblLayout w:type="fixed"/>
          <w:tblCellMar>
            <w:top w:w="0" w:type="dxa"/>
            <w:left w:w="108" w:type="dxa"/>
            <w:bottom w:w="0" w:type="dxa"/>
            <w:right w:w="108" w:type="dxa"/>
          </w:tblCellMar>
        </w:tblPrEx>
        <w:trPr>
          <w:trHeight w:val="540" w:hRule="atLeast"/>
          <w:tblHeader/>
        </w:trPr>
        <w:tc>
          <w:tcPr>
            <w:tcW w:w="5286"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部门：那曲市委员会宣传部</w:t>
            </w:r>
          </w:p>
        </w:tc>
        <w:tc>
          <w:tcPr>
            <w:tcW w:w="6769" w:type="dxa"/>
            <w:gridSpan w:val="13"/>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2019年度</w:t>
            </w:r>
          </w:p>
        </w:tc>
        <w:tc>
          <w:tcPr>
            <w:tcW w:w="953"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841"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Layout w:type="fixed"/>
          <w:tblCellMar>
            <w:top w:w="0" w:type="dxa"/>
            <w:left w:w="108" w:type="dxa"/>
            <w:bottom w:w="0" w:type="dxa"/>
            <w:right w:w="108" w:type="dxa"/>
          </w:tblCellMar>
        </w:tblPrEx>
        <w:trPr>
          <w:trHeight w:val="480" w:hRule="atLeast"/>
          <w:tblHeader/>
        </w:trPr>
        <w:tc>
          <w:tcPr>
            <w:tcW w:w="528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w:t>
            </w:r>
          </w:p>
        </w:tc>
        <w:tc>
          <w:tcPr>
            <w:tcW w:w="121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85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上年结转</w:t>
            </w:r>
          </w:p>
        </w:tc>
        <w:tc>
          <w:tcPr>
            <w:tcW w:w="11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一般公共预算拨款收入</w:t>
            </w:r>
          </w:p>
        </w:tc>
        <w:tc>
          <w:tcPr>
            <w:tcW w:w="113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政府性基金预算拨款收入</w:t>
            </w:r>
          </w:p>
        </w:tc>
        <w:tc>
          <w:tcPr>
            <w:tcW w:w="70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事业收入</w:t>
            </w:r>
          </w:p>
        </w:tc>
        <w:tc>
          <w:tcPr>
            <w:tcW w:w="101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事业单位经营收入</w:t>
            </w:r>
          </w:p>
        </w:tc>
        <w:tc>
          <w:tcPr>
            <w:tcW w:w="72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上级补助收入</w:t>
            </w:r>
          </w:p>
        </w:tc>
        <w:tc>
          <w:tcPr>
            <w:tcW w:w="95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下级单位上缴收入</w:t>
            </w:r>
          </w:p>
        </w:tc>
        <w:tc>
          <w:tcPr>
            <w:tcW w:w="7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其他收入</w:t>
            </w:r>
          </w:p>
        </w:tc>
        <w:tc>
          <w:tcPr>
            <w:tcW w:w="113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用事业基金弥补收支差额</w:t>
            </w:r>
          </w:p>
        </w:tc>
      </w:tr>
      <w:tr>
        <w:tblPrEx>
          <w:tblLayout w:type="fixed"/>
          <w:tblCellMar>
            <w:top w:w="0" w:type="dxa"/>
            <w:left w:w="108" w:type="dxa"/>
            <w:bottom w:w="0" w:type="dxa"/>
            <w:right w:w="108" w:type="dxa"/>
          </w:tblCellMar>
        </w:tblPrEx>
        <w:trPr>
          <w:trHeight w:val="825" w:hRule="atLeast"/>
          <w:tblHeader/>
        </w:trPr>
        <w:tc>
          <w:tcPr>
            <w:tcW w:w="109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41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科目名称</w:t>
            </w:r>
          </w:p>
        </w:tc>
        <w:tc>
          <w:tcPr>
            <w:tcW w:w="121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8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3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0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0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13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612"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20133</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宣传事务</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2013301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1254.85</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1254.85</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2013399</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其他宣传事务支出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280.6</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280.6</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社会保障和就业支出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214.78</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214.78</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行政事业单位离退休</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20807</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就业补助</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7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2080705</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公益性岗位补贴</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20808</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抚恤</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2080801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死亡抚恤</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医院卫生与计划生育支出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78.58</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78.58</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2101103</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853"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0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18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85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113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0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2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95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294" w:hRule="atLeast"/>
        </w:trPr>
        <w:tc>
          <w:tcPr>
            <w:tcW w:w="14849"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注：1.如此表无数据，则以空表形式公开，请不要删除此表；</w:t>
            </w:r>
          </w:p>
          <w:p>
            <w:pPr>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2.如此表为空表，请说明原因。</w:t>
            </w:r>
          </w:p>
        </w:tc>
      </w:tr>
    </w:tbl>
    <w:p>
      <w:pPr>
        <w:jc w:val="left"/>
        <w:rPr>
          <w:rFonts w:ascii="黑体" w:eastAsia="黑体"/>
          <w:sz w:val="24"/>
        </w:rPr>
      </w:pPr>
    </w:p>
    <w:p>
      <w:pPr>
        <w:jc w:val="left"/>
        <w:rPr>
          <w:rFonts w:ascii="黑体" w:eastAsia="黑体"/>
          <w:sz w:val="24"/>
        </w:rPr>
        <w:sectPr>
          <w:pgSz w:w="16838" w:h="11906" w:orient="landscape"/>
          <w:pgMar w:top="1797" w:right="1440" w:bottom="663" w:left="1440" w:header="851" w:footer="992" w:gutter="0"/>
          <w:cols w:space="720" w:num="1"/>
          <w:docGrid w:type="lines" w:linePitch="312" w:charSpace="0"/>
        </w:sectPr>
      </w:pPr>
    </w:p>
    <w:tbl>
      <w:tblPr>
        <w:tblStyle w:val="11"/>
        <w:tblW w:w="15120" w:type="dxa"/>
        <w:tblInd w:w="94" w:type="dxa"/>
        <w:tblLayout w:type="fixed"/>
        <w:tblCellMar>
          <w:top w:w="0" w:type="dxa"/>
          <w:left w:w="108" w:type="dxa"/>
          <w:bottom w:w="0" w:type="dxa"/>
          <w:right w:w="108" w:type="dxa"/>
        </w:tblCellMar>
      </w:tblPr>
      <w:tblGrid>
        <w:gridCol w:w="1717"/>
        <w:gridCol w:w="5852"/>
        <w:gridCol w:w="1544"/>
        <w:gridCol w:w="1"/>
        <w:gridCol w:w="1551"/>
        <w:gridCol w:w="744"/>
        <w:gridCol w:w="1"/>
        <w:gridCol w:w="779"/>
        <w:gridCol w:w="266"/>
        <w:gridCol w:w="1242"/>
        <w:gridCol w:w="1423"/>
      </w:tblGrid>
      <w:tr>
        <w:tblPrEx>
          <w:tblLayout w:type="fixed"/>
          <w:tblCellMar>
            <w:top w:w="0" w:type="dxa"/>
            <w:left w:w="108" w:type="dxa"/>
            <w:bottom w:w="0" w:type="dxa"/>
            <w:right w:w="108" w:type="dxa"/>
          </w:tblCellMar>
        </w:tblPrEx>
        <w:trPr>
          <w:trHeight w:val="310" w:hRule="atLeast"/>
        </w:trPr>
        <w:tc>
          <w:tcPr>
            <w:tcW w:w="1717"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5852"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54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552"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744"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78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931" w:type="dxa"/>
            <w:gridSpan w:val="3"/>
            <w:tcBorders>
              <w:top w:val="nil"/>
              <w:left w:val="nil"/>
              <w:bottom w:val="nil"/>
              <w:right w:val="nil"/>
            </w:tcBorders>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部门公开08表</w:t>
            </w:r>
          </w:p>
        </w:tc>
      </w:tr>
      <w:tr>
        <w:tblPrEx>
          <w:tblLayout w:type="fixed"/>
          <w:tblCellMar>
            <w:top w:w="0" w:type="dxa"/>
            <w:left w:w="108" w:type="dxa"/>
            <w:bottom w:w="0" w:type="dxa"/>
            <w:right w:w="108" w:type="dxa"/>
          </w:tblCellMar>
        </w:tblPrEx>
        <w:trPr>
          <w:trHeight w:val="619" w:hRule="atLeast"/>
        </w:trPr>
        <w:tc>
          <w:tcPr>
            <w:tcW w:w="15120" w:type="dxa"/>
            <w:gridSpan w:val="11"/>
            <w:tcBorders>
              <w:top w:val="nil"/>
              <w:left w:val="nil"/>
              <w:bottom w:val="nil"/>
              <w:right w:val="nil"/>
            </w:tcBorders>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部门支出总表</w:t>
            </w:r>
          </w:p>
        </w:tc>
      </w:tr>
      <w:tr>
        <w:tblPrEx>
          <w:tblLayout w:type="fixed"/>
          <w:tblCellMar>
            <w:top w:w="0" w:type="dxa"/>
            <w:left w:w="108" w:type="dxa"/>
            <w:bottom w:w="0" w:type="dxa"/>
            <w:right w:w="108" w:type="dxa"/>
          </w:tblCellMar>
        </w:tblPrEx>
        <w:trPr>
          <w:trHeight w:val="310" w:hRule="atLeast"/>
        </w:trPr>
        <w:tc>
          <w:tcPr>
            <w:tcW w:w="7569"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部门：那曲市委员会宣传部</w:t>
            </w:r>
          </w:p>
        </w:tc>
        <w:tc>
          <w:tcPr>
            <w:tcW w:w="4886" w:type="dxa"/>
            <w:gridSpan w:val="7"/>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2019年度</w:t>
            </w:r>
          </w:p>
        </w:tc>
        <w:tc>
          <w:tcPr>
            <w:tcW w:w="2665"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单位：万元</w:t>
            </w:r>
          </w:p>
        </w:tc>
      </w:tr>
      <w:tr>
        <w:tblPrEx>
          <w:tblLayout w:type="fixed"/>
          <w:tblCellMar>
            <w:top w:w="0" w:type="dxa"/>
            <w:left w:w="108" w:type="dxa"/>
            <w:bottom w:w="0" w:type="dxa"/>
            <w:right w:w="108" w:type="dxa"/>
          </w:tblCellMar>
        </w:tblPrEx>
        <w:trPr>
          <w:trHeight w:val="320" w:hRule="atLeast"/>
        </w:trPr>
        <w:tc>
          <w:tcPr>
            <w:tcW w:w="75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w:t>
            </w:r>
          </w:p>
        </w:tc>
        <w:tc>
          <w:tcPr>
            <w:tcW w:w="15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合计 </w:t>
            </w:r>
          </w:p>
        </w:tc>
        <w:tc>
          <w:tcPr>
            <w:tcW w:w="155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基本</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支出</w:t>
            </w:r>
          </w:p>
        </w:tc>
        <w:tc>
          <w:tcPr>
            <w:tcW w:w="7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项目支出 </w:t>
            </w:r>
          </w:p>
        </w:tc>
        <w:tc>
          <w:tcPr>
            <w:tcW w:w="104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上缴上级支出 </w:t>
            </w:r>
          </w:p>
        </w:tc>
        <w:tc>
          <w:tcPr>
            <w:tcW w:w="124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事业单位经营支出 </w:t>
            </w:r>
          </w:p>
        </w:tc>
        <w:tc>
          <w:tcPr>
            <w:tcW w:w="142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对下级单位补助支出 </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科目编码</w:t>
            </w:r>
          </w:p>
        </w:tc>
        <w:tc>
          <w:tcPr>
            <w:tcW w:w="58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科目名称 </w:t>
            </w:r>
          </w:p>
        </w:tc>
        <w:tc>
          <w:tcPr>
            <w:tcW w:w="15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5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7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04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4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一般公共服务支出</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1959.27</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20133</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宣传事务</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1959.27</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1959.27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2013301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行政运行</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1254.85</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1254.85</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2013399</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其他宣传事务支出</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280.6</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280.6</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社会保障支出</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214.78</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214.78</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20805</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行政事业单位离退休</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196.45</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2080505</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机关事业单位基本养老保险缴费支出</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196.45</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196.45</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20807</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就业补助</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5.15</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2080705</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公益性岗位补助</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5.15</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20808</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社会保障和就业支出</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13.18</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2080801</w:t>
            </w:r>
          </w:p>
        </w:tc>
        <w:tc>
          <w:tcPr>
            <w:tcW w:w="585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死亡抚恤</w:t>
            </w:r>
          </w:p>
        </w:tc>
        <w:tc>
          <w:tcPr>
            <w:tcW w:w="15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13.18</w:t>
            </w:r>
          </w:p>
        </w:tc>
        <w:tc>
          <w:tcPr>
            <w:tcW w:w="155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7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210</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医疗卫生与计划生育支出</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98.34</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21011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行政事业单位医疗</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98.34</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98.34</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2101101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行政单位医疗</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78.58</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78.58</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2101103</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19.76</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110.7</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22102</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住房改革支出</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110.7</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32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2210201</w:t>
            </w:r>
          </w:p>
        </w:tc>
        <w:tc>
          <w:tcPr>
            <w:tcW w:w="58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5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22"/>
                <w:szCs w:val="22"/>
              </w:rPr>
              <w:t>110.7</w:t>
            </w:r>
          </w:p>
        </w:tc>
        <w:tc>
          <w:tcPr>
            <w:tcW w:w="15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330" w:hRule="atLeast"/>
        </w:trPr>
        <w:tc>
          <w:tcPr>
            <w:tcW w:w="171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1545"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c>
          <w:tcPr>
            <w:tcW w:w="1551"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1959.27</w:t>
            </w:r>
          </w:p>
        </w:tc>
        <w:tc>
          <w:tcPr>
            <w:tcW w:w="7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045"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24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1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bl>
    <w:p>
      <w:pPr>
        <w:jc w:val="left"/>
        <w:rPr>
          <w:rFonts w:ascii="黑体" w:eastAsia="黑体"/>
          <w:sz w:val="24"/>
        </w:rPr>
      </w:pPr>
    </w:p>
    <w:p>
      <w:pPr>
        <w:jc w:val="left"/>
        <w:rPr>
          <w:rFonts w:ascii="黑体" w:eastAsia="黑体"/>
          <w:sz w:val="24"/>
        </w:rPr>
        <w:sectPr>
          <w:pgSz w:w="16838" w:h="11906" w:orient="landscape"/>
          <w:pgMar w:top="663" w:right="1440" w:bottom="1797" w:left="1440" w:header="851" w:footer="992" w:gutter="0"/>
          <w:cols w:space="720" w:num="1"/>
          <w:docGrid w:type="lines" w:linePitch="312" w:charSpace="0"/>
        </w:sectPr>
      </w:pPr>
    </w:p>
    <w:p>
      <w:pPr>
        <w:jc w:val="left"/>
        <w:rPr>
          <w:rFonts w:ascii="黑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24"/>
        </w:rPr>
      </w:pPr>
    </w:p>
    <w:p>
      <w:pPr>
        <w:widowControl/>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那曲市委员会宣传部2019年度</w:t>
      </w:r>
    </w:p>
    <w:p>
      <w:pPr>
        <w:jc w:val="center"/>
        <w:rPr>
          <w:rFonts w:ascii="黑体" w:hAnsi="宋体" w:eastAsia="黑体"/>
          <w:sz w:val="48"/>
          <w:szCs w:val="48"/>
        </w:rPr>
      </w:pPr>
      <w:r>
        <w:rPr>
          <w:rFonts w:hint="eastAsia" w:ascii="黑体" w:hAnsi="宋体" w:eastAsia="黑体"/>
          <w:sz w:val="48"/>
          <w:szCs w:val="48"/>
        </w:rPr>
        <w:t>预算情况说明</w:t>
      </w:r>
    </w:p>
    <w:p>
      <w:pPr>
        <w:jc w:val="left"/>
        <w:rPr>
          <w:rFonts w:ascii="黑体" w:hAnsi="宋体" w:eastAsia="黑体"/>
          <w:sz w:val="48"/>
          <w:szCs w:val="48"/>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spacing w:beforeLines="50" w:afterLines="50"/>
        <w:jc w:val="left"/>
        <w:rPr>
          <w:rFonts w:ascii="黑体" w:eastAsia="黑体"/>
          <w:sz w:val="32"/>
          <w:szCs w:val="32"/>
        </w:rPr>
      </w:pPr>
    </w:p>
    <w:p>
      <w:pPr>
        <w:jc w:val="left"/>
        <w:rPr>
          <w:rFonts w:ascii="黑体" w:hAnsi="宋体" w:eastAsia="黑体"/>
          <w:sz w:val="32"/>
          <w:szCs w:val="32"/>
        </w:rPr>
      </w:pPr>
      <w:r>
        <w:rPr>
          <w:rFonts w:ascii="黑体" w:hAnsi="宋体" w:eastAsia="黑体"/>
          <w:sz w:val="32"/>
          <w:szCs w:val="32"/>
        </w:rPr>
        <w:br w:type="page"/>
      </w:r>
    </w:p>
    <w:p>
      <w:pPr>
        <w:ind w:firstLine="627" w:firstLineChars="196"/>
        <w:jc w:val="left"/>
        <w:rPr>
          <w:rFonts w:ascii="黑体" w:hAnsi="宋体" w:eastAsia="黑体"/>
          <w:sz w:val="32"/>
          <w:szCs w:val="32"/>
        </w:rPr>
      </w:pPr>
      <w:r>
        <w:rPr>
          <w:rFonts w:hint="eastAsia" w:ascii="黑体" w:hAnsi="宋体" w:eastAsia="黑体"/>
          <w:sz w:val="32"/>
          <w:szCs w:val="32"/>
        </w:rPr>
        <w:t>一、关于那曲市委员会宣传部2019年度财政拨款收支预算情况的总体说明</w:t>
      </w:r>
    </w:p>
    <w:p>
      <w:pPr>
        <w:ind w:firstLine="707" w:firstLineChars="221"/>
        <w:jc w:val="left"/>
        <w:rPr>
          <w:rFonts w:ascii="仿宋" w:hAnsi="仿宋" w:eastAsia="仿宋"/>
          <w:sz w:val="32"/>
          <w:szCs w:val="32"/>
        </w:rPr>
      </w:pPr>
      <w:r>
        <w:rPr>
          <w:rFonts w:hint="eastAsia" w:ascii="仿宋" w:hAnsi="仿宋" w:eastAsia="仿宋"/>
          <w:sz w:val="32"/>
          <w:szCs w:val="32"/>
        </w:rPr>
        <w:t>那曲市委员会宣传部2019年财政拨款收支总预算1959.27万元。收入全部为一般公共预算拨款，无政府性基金预算拨款，包括：一般公共预算当年拨款收入</w:t>
      </w:r>
      <w:r>
        <w:rPr>
          <w:rFonts w:hint="eastAsia" w:ascii="仿宋" w:hAnsi="仿宋" w:eastAsia="仿宋"/>
          <w:sz w:val="32"/>
          <w:szCs w:val="32"/>
          <w:shd w:val="clear" w:color="auto" w:fill="FFFFFF"/>
        </w:rPr>
        <w:t>1959.27万元</w:t>
      </w:r>
      <w:r>
        <w:rPr>
          <w:rFonts w:hint="eastAsia" w:ascii="仿宋" w:hAnsi="仿宋" w:eastAsia="仿宋"/>
          <w:sz w:val="32"/>
          <w:szCs w:val="32"/>
        </w:rPr>
        <w:t>；支出包括：社会保障和就业支出214.78万元，医疗卫生与计划生育支出98.34万元，住房保障支出110.7万元。</w:t>
      </w:r>
    </w:p>
    <w:p>
      <w:pPr>
        <w:ind w:firstLine="707" w:firstLineChars="221"/>
        <w:jc w:val="left"/>
        <w:rPr>
          <w:rFonts w:ascii="黑体" w:hAnsi="宋体" w:eastAsia="黑体"/>
          <w:sz w:val="32"/>
          <w:szCs w:val="32"/>
        </w:rPr>
      </w:pPr>
    </w:p>
    <w:p>
      <w:pPr>
        <w:ind w:firstLine="627" w:firstLineChars="196"/>
        <w:jc w:val="left"/>
        <w:rPr>
          <w:rFonts w:ascii="黑体" w:hAnsi="宋体" w:eastAsia="黑体"/>
          <w:sz w:val="32"/>
          <w:szCs w:val="32"/>
        </w:rPr>
      </w:pPr>
      <w:r>
        <w:rPr>
          <w:rFonts w:hint="eastAsia" w:ascii="黑体" w:hAnsi="宋体" w:eastAsia="黑体"/>
          <w:sz w:val="32"/>
          <w:szCs w:val="32"/>
        </w:rPr>
        <w:t>二、关于那曲市委员会宣传部2019年度一般公共预算当年拨款情况说明</w:t>
      </w:r>
    </w:p>
    <w:p>
      <w:pPr>
        <w:ind w:firstLine="627" w:firstLineChars="196"/>
        <w:jc w:val="left"/>
        <w:rPr>
          <w:rFonts w:ascii="楷体_GB2312" w:eastAsia="楷体_GB2312"/>
          <w:sz w:val="32"/>
          <w:szCs w:val="32"/>
        </w:rPr>
      </w:pPr>
      <w:r>
        <w:rPr>
          <w:rFonts w:hint="eastAsia" w:ascii="楷体_GB2312" w:eastAsia="楷体_GB2312"/>
          <w:sz w:val="32"/>
          <w:szCs w:val="32"/>
        </w:rPr>
        <w:t>（一）一般公共预算当年财政拨款规模变化情况</w:t>
      </w:r>
    </w:p>
    <w:p>
      <w:pPr>
        <w:ind w:firstLine="627" w:firstLineChars="196"/>
        <w:jc w:val="left"/>
        <w:rPr>
          <w:rFonts w:ascii="仿宋" w:hAnsi="仿宋" w:eastAsia="仿宋"/>
          <w:sz w:val="32"/>
          <w:szCs w:val="32"/>
        </w:rPr>
      </w:pPr>
      <w:r>
        <w:rPr>
          <w:rFonts w:hint="eastAsia" w:ascii="仿宋" w:hAnsi="仿宋" w:eastAsia="仿宋"/>
          <w:sz w:val="32"/>
          <w:szCs w:val="32"/>
        </w:rPr>
        <w:t>那曲市委员会宣传部2019年一般公共预算当年拨款1959.27万元，比2018年的2104.9万元，减少145.63万元。主要原因为项目经费减少。</w:t>
      </w:r>
    </w:p>
    <w:p>
      <w:pPr>
        <w:ind w:firstLine="627" w:firstLineChars="196"/>
        <w:jc w:val="left"/>
        <w:rPr>
          <w:rFonts w:ascii="楷体_GB2312" w:eastAsia="楷体_GB2312"/>
          <w:sz w:val="32"/>
          <w:szCs w:val="32"/>
        </w:rPr>
      </w:pPr>
      <w:r>
        <w:rPr>
          <w:rFonts w:hint="eastAsia" w:ascii="楷体_GB2312" w:eastAsia="楷体_GB2312"/>
          <w:sz w:val="32"/>
          <w:szCs w:val="32"/>
        </w:rPr>
        <w:t>（二）一般公共预算当年财政拨款结构情况</w:t>
      </w:r>
    </w:p>
    <w:p>
      <w:pPr>
        <w:shd w:val="clear" w:color="auto" w:fill="FFFFFF"/>
        <w:ind w:firstLine="630" w:firstLineChars="196"/>
        <w:jc w:val="left"/>
        <w:rPr>
          <w:rFonts w:ascii="仿宋" w:hAnsi="仿宋" w:eastAsia="仿宋"/>
          <w:sz w:val="32"/>
          <w:szCs w:val="32"/>
        </w:rPr>
      </w:pPr>
      <w:r>
        <w:rPr>
          <w:rFonts w:hint="eastAsia" w:ascii="仿宋" w:hAnsi="仿宋" w:eastAsia="仿宋"/>
          <w:b/>
          <w:sz w:val="32"/>
          <w:szCs w:val="32"/>
        </w:rPr>
        <w:t>社会保障和就业（类，208）</w:t>
      </w:r>
      <w:r>
        <w:rPr>
          <w:rFonts w:hint="eastAsia" w:ascii="仿宋" w:hAnsi="仿宋" w:eastAsia="仿宋"/>
          <w:sz w:val="32"/>
          <w:szCs w:val="32"/>
        </w:rPr>
        <w:t>支出214.78万元，</w:t>
      </w:r>
      <w:r>
        <w:rPr>
          <w:rFonts w:hint="eastAsia" w:ascii="仿宋" w:hAnsi="仿宋" w:eastAsia="仿宋"/>
          <w:b/>
          <w:sz w:val="32"/>
          <w:szCs w:val="32"/>
        </w:rPr>
        <w:t>医疗卫生与计划生育（类,210）</w:t>
      </w:r>
      <w:r>
        <w:rPr>
          <w:rFonts w:hint="eastAsia" w:ascii="仿宋" w:hAnsi="仿宋" w:eastAsia="仿宋"/>
          <w:sz w:val="32"/>
          <w:szCs w:val="32"/>
        </w:rPr>
        <w:t>支出98.34万元，</w:t>
      </w:r>
      <w:r>
        <w:rPr>
          <w:rFonts w:hint="eastAsia" w:ascii="仿宋" w:hAnsi="仿宋" w:eastAsia="仿宋"/>
          <w:b/>
          <w:sz w:val="32"/>
          <w:szCs w:val="32"/>
        </w:rPr>
        <w:t>住房保障（类,221）</w:t>
      </w:r>
      <w:r>
        <w:rPr>
          <w:rFonts w:hint="eastAsia" w:ascii="仿宋" w:hAnsi="仿宋" w:eastAsia="仿宋"/>
          <w:sz w:val="32"/>
          <w:szCs w:val="32"/>
        </w:rPr>
        <w:t>支出110.7万元。</w:t>
      </w:r>
    </w:p>
    <w:p>
      <w:pPr>
        <w:shd w:val="clear" w:color="auto" w:fill="FFFFFF"/>
        <w:ind w:firstLine="627" w:firstLineChars="196"/>
        <w:jc w:val="left"/>
        <w:rPr>
          <w:rFonts w:ascii="楷体_GB2312" w:eastAsia="楷体_GB2312"/>
          <w:sz w:val="32"/>
          <w:szCs w:val="32"/>
        </w:rPr>
      </w:pPr>
      <w:r>
        <w:rPr>
          <w:rFonts w:hint="eastAsia" w:ascii="方正仿宋简体" w:hAnsi="宋体" w:eastAsia="方正仿宋简体" w:cs="宋体"/>
          <w:sz w:val="32"/>
          <w:szCs w:val="32"/>
        </w:rPr>
        <w:t>（三）</w:t>
      </w:r>
      <w:r>
        <w:rPr>
          <w:rFonts w:hint="eastAsia" w:ascii="楷体_GB2312" w:eastAsia="楷体_GB2312"/>
          <w:sz w:val="32"/>
          <w:szCs w:val="32"/>
        </w:rPr>
        <w:t>一般公共预算当年财政拨款具体使用情况</w:t>
      </w:r>
    </w:p>
    <w:p>
      <w:pPr>
        <w:ind w:firstLine="630" w:firstLineChars="196"/>
        <w:jc w:val="left"/>
        <w:rPr>
          <w:rFonts w:ascii="仿宋" w:hAnsi="仿宋" w:eastAsia="仿宋"/>
          <w:sz w:val="32"/>
          <w:szCs w:val="32"/>
        </w:rPr>
      </w:pPr>
      <w:r>
        <w:rPr>
          <w:rFonts w:hint="eastAsia" w:ascii="仿宋" w:hAnsi="仿宋" w:eastAsia="仿宋"/>
          <w:b/>
          <w:sz w:val="32"/>
          <w:szCs w:val="32"/>
          <w:shd w:val="clear" w:color="auto" w:fill="FFFFFF"/>
        </w:rPr>
        <w:t>1.社会保障和就业（类，208）行政事业单位离退休（款，20805）机关事业单位基本养老保险缴费（项，2080505）</w:t>
      </w:r>
      <w:r>
        <w:rPr>
          <w:rFonts w:hint="eastAsia" w:ascii="仿宋" w:hAnsi="仿宋" w:eastAsia="仿宋"/>
          <w:sz w:val="32"/>
          <w:szCs w:val="32"/>
          <w:shd w:val="clear" w:color="auto" w:fill="FFFFFF"/>
        </w:rPr>
        <w:t>支出196.45万元，比2018年增加3.85万元，主要为人员新增。</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2.社会保障和就业（类，208）抚恤（款，20807）就业补助（项，2080705）</w:t>
      </w:r>
      <w:r>
        <w:rPr>
          <w:rFonts w:hint="eastAsia" w:ascii="仿宋" w:hAnsi="仿宋" w:eastAsia="仿宋"/>
          <w:sz w:val="32"/>
          <w:szCs w:val="32"/>
        </w:rPr>
        <w:t>支出5.15万元，比2018年增加2.75万元，主要为人员新增。</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3.社会保障和就业（类，208）抚恤（款，20808）就业补助（项，2080801）</w:t>
      </w:r>
      <w:r>
        <w:rPr>
          <w:rFonts w:hint="eastAsia" w:ascii="仿宋" w:hAnsi="仿宋" w:eastAsia="仿宋"/>
          <w:sz w:val="32"/>
          <w:szCs w:val="32"/>
        </w:rPr>
        <w:t>支出13.18万元，比2018年增加0.88万元，主要为比去年有所提高。</w:t>
      </w:r>
    </w:p>
    <w:p>
      <w:pPr>
        <w:shd w:val="clear" w:color="auto" w:fill="FFFFFF"/>
        <w:ind w:firstLine="707" w:firstLineChars="221"/>
        <w:jc w:val="left"/>
        <w:rPr>
          <w:rFonts w:ascii="仿宋" w:hAnsi="仿宋" w:eastAsia="仿宋"/>
          <w:sz w:val="32"/>
          <w:szCs w:val="32"/>
        </w:rPr>
      </w:pP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4.医疗卫生与计划生育（类，210）公共卫生（款，21011）</w:t>
      </w:r>
      <w:r>
        <w:rPr>
          <w:rFonts w:hint="eastAsia" w:ascii="宋体" w:hAnsi="宋体" w:cs="宋体"/>
          <w:color w:val="000000"/>
          <w:kern w:val="0"/>
          <w:sz w:val="22"/>
          <w:szCs w:val="22"/>
        </w:rPr>
        <w:t>行政事业单位医疗</w:t>
      </w:r>
      <w:r>
        <w:rPr>
          <w:rFonts w:hint="eastAsia" w:ascii="仿宋" w:hAnsi="仿宋" w:eastAsia="仿宋"/>
          <w:b/>
          <w:sz w:val="32"/>
          <w:szCs w:val="32"/>
        </w:rPr>
        <w:t>（项，2101101）</w:t>
      </w:r>
      <w:r>
        <w:rPr>
          <w:rFonts w:hint="eastAsia" w:ascii="仿宋" w:hAnsi="仿宋" w:eastAsia="仿宋"/>
          <w:sz w:val="32"/>
          <w:szCs w:val="32"/>
        </w:rPr>
        <w:t>支出78.58万元，比2018年增加1.58万元，主要原因为人员新增。</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5.医疗卫生与计划生育（类，210）行政事业单位医疗（款，21011）行政单位医疗（项，2101103）</w:t>
      </w:r>
      <w:r>
        <w:rPr>
          <w:rFonts w:hint="eastAsia" w:ascii="仿宋" w:hAnsi="仿宋" w:eastAsia="仿宋"/>
          <w:sz w:val="32"/>
          <w:szCs w:val="32"/>
        </w:rPr>
        <w:t>支出19.76万元，较2018年度增加1.66万元，主要为2018年人员新增。</w:t>
      </w:r>
    </w:p>
    <w:p>
      <w:pPr>
        <w:shd w:val="clear" w:color="auto" w:fill="FFFFFF"/>
        <w:ind w:firstLine="710" w:firstLineChars="221"/>
        <w:jc w:val="left"/>
        <w:rPr>
          <w:rFonts w:ascii="仿宋" w:hAnsi="仿宋" w:eastAsia="仿宋"/>
          <w:sz w:val="32"/>
          <w:szCs w:val="32"/>
        </w:rPr>
      </w:pPr>
      <w:r>
        <w:rPr>
          <w:rFonts w:hint="eastAsia" w:ascii="仿宋" w:hAnsi="仿宋" w:eastAsia="仿宋"/>
          <w:b/>
          <w:sz w:val="32"/>
          <w:szCs w:val="32"/>
        </w:rPr>
        <w:t>6.住房保障（类，221）住房改革支出（款，22102）住房公积金（项，2210201）</w:t>
      </w:r>
      <w:r>
        <w:rPr>
          <w:rFonts w:hint="eastAsia" w:ascii="仿宋" w:hAnsi="仿宋" w:eastAsia="仿宋"/>
          <w:sz w:val="32"/>
          <w:szCs w:val="32"/>
        </w:rPr>
        <w:t>支出110.7万元，较2018年度增加1万元，主要为2018年人员新增。</w:t>
      </w:r>
    </w:p>
    <w:p>
      <w:pPr>
        <w:ind w:firstLine="627" w:firstLineChars="196"/>
        <w:jc w:val="left"/>
        <w:rPr>
          <w:rFonts w:ascii="黑体" w:hAnsi="宋体" w:eastAsia="黑体"/>
          <w:sz w:val="32"/>
          <w:szCs w:val="32"/>
        </w:rPr>
      </w:pPr>
      <w:r>
        <w:rPr>
          <w:rFonts w:hint="eastAsia" w:ascii="黑体" w:hAnsi="宋体" w:eastAsia="黑体"/>
          <w:sz w:val="32"/>
          <w:szCs w:val="32"/>
        </w:rPr>
        <w:t>三、关于那曲市委员会宣传部2019年度一般公共预算基本支出情况说明</w:t>
      </w:r>
    </w:p>
    <w:p>
      <w:pPr>
        <w:ind w:firstLine="707" w:firstLineChars="221"/>
        <w:jc w:val="left"/>
        <w:rPr>
          <w:rFonts w:ascii="仿宋" w:hAnsi="仿宋" w:eastAsia="仿宋"/>
          <w:sz w:val="32"/>
          <w:szCs w:val="32"/>
        </w:rPr>
      </w:pPr>
      <w:r>
        <w:rPr>
          <w:rFonts w:hint="eastAsia" w:ascii="仿宋" w:hAnsi="仿宋" w:eastAsia="仿宋"/>
          <w:sz w:val="32"/>
          <w:szCs w:val="32"/>
        </w:rPr>
        <w:t>那曲市委员会宣传部2019年度一般公共预算基本支出1959.27万元,其中：</w:t>
      </w:r>
      <w:r>
        <w:rPr>
          <w:rFonts w:hint="eastAsia" w:ascii="仿宋" w:hAnsi="仿宋" w:eastAsia="仿宋"/>
          <w:sz w:val="32"/>
          <w:szCs w:val="32"/>
          <w:shd w:val="clear" w:color="auto" w:fill="FFFFFF"/>
        </w:rPr>
        <w:t>人员经费1568.16万元，含工资福利支出 1553.16万元、</w:t>
      </w:r>
      <w:r>
        <w:rPr>
          <w:rFonts w:hint="eastAsia" w:ascii="仿宋" w:hAnsi="仿宋" w:eastAsia="仿宋"/>
          <w:sz w:val="32"/>
          <w:szCs w:val="32"/>
        </w:rPr>
        <w:t>对个人和家庭的补助15万元；主要包括：基本工资、津贴补贴、奖金、伙食补助费、机关事业单位养老保险缴费、职工基本医疗保险缴费、其他社会保障缴费、住房公积金、其他工资福利支出、抚恤金、其他对个人和家庭的补助支出、个人通讯补助、休假探亲费、未休假人员补助、体检费、公益性岗位补助、个人取暖费、公务员医疗补助费、退休人员慰问金、离休人员经费（公用经费）。</w:t>
      </w:r>
    </w:p>
    <w:p>
      <w:pPr>
        <w:ind w:firstLine="707" w:firstLineChars="221"/>
        <w:jc w:val="left"/>
        <w:rPr>
          <w:rFonts w:ascii="仿宋" w:hAnsi="仿宋" w:eastAsia="仿宋"/>
          <w:sz w:val="32"/>
          <w:szCs w:val="32"/>
        </w:rPr>
      </w:pPr>
      <w:r>
        <w:rPr>
          <w:rFonts w:hint="eastAsia" w:ascii="仿宋" w:hAnsi="仿宋" w:eastAsia="仿宋"/>
          <w:sz w:val="32"/>
          <w:szCs w:val="32"/>
          <w:shd w:val="clear" w:color="auto" w:fill="FFFFFF"/>
        </w:rPr>
        <w:t>公用经费（商品和服务支出）110.5元，</w:t>
      </w:r>
      <w:r>
        <w:rPr>
          <w:rFonts w:hint="eastAsia" w:ascii="仿宋" w:hAnsi="仿宋" w:eastAsia="仿宋"/>
          <w:sz w:val="32"/>
          <w:szCs w:val="32"/>
        </w:rPr>
        <w:t>主要包括：办公费、印刷费、水（电）费、邮电费、差旅费、取暖费、维修（护）费、会议费、培训费、公务接待费、福利费、公务用车运行维护费、其他商品和服务支出。</w:t>
      </w:r>
    </w:p>
    <w:p>
      <w:pPr>
        <w:ind w:firstLine="627" w:firstLineChars="196"/>
        <w:jc w:val="left"/>
        <w:rPr>
          <w:rFonts w:ascii="黑体" w:hAnsi="宋体" w:eastAsia="黑体"/>
          <w:sz w:val="32"/>
          <w:szCs w:val="32"/>
        </w:rPr>
      </w:pPr>
      <w:r>
        <w:rPr>
          <w:rFonts w:hint="eastAsia" w:ascii="黑体" w:hAnsi="宋体" w:eastAsia="黑体"/>
          <w:sz w:val="32"/>
          <w:szCs w:val="32"/>
        </w:rPr>
        <w:t>四、关于那曲市委员会宣传部2019年“三公”经费预算情况说明</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 xml:space="preserve">那曲市委员会宣传部2019年“三公”经费预算数合计 73.38万元，其中：因公出国(境)费0.00万元，公务用车购置及运行费65.9万元（含项目支出37万元）购置费0.00万元，公务接待费7.48万元， </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2019年，预算因公出国（境）团组数0团次、人数0人次，公务用车购置数0辆。</w:t>
      </w:r>
    </w:p>
    <w:p>
      <w:pPr>
        <w:widowControl/>
        <w:shd w:val="clear" w:color="auto" w:fill="FFFFFF"/>
        <w:jc w:val="left"/>
        <w:rPr>
          <w:rFonts w:ascii="黑体" w:hAnsi="宋体" w:eastAsia="黑体"/>
          <w:sz w:val="32"/>
          <w:szCs w:val="32"/>
        </w:rPr>
      </w:pPr>
      <w:r>
        <w:rPr>
          <w:rFonts w:hint="eastAsia" w:ascii="黑体" w:hAnsi="宋体" w:eastAsia="黑体"/>
          <w:sz w:val="32"/>
          <w:szCs w:val="32"/>
        </w:rPr>
        <w:t>五、关于那曲市委员会宣传部2019年度政府性基金预算支出情况说明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那曲市委员会宣传部2019年没有使用政府性基金预算拨款安排的支出。</w:t>
      </w:r>
    </w:p>
    <w:p>
      <w:pPr>
        <w:ind w:firstLine="640" w:firstLineChars="200"/>
        <w:jc w:val="left"/>
        <w:rPr>
          <w:rFonts w:ascii="仿宋" w:hAnsi="仿宋" w:eastAsia="仿宋"/>
          <w:sz w:val="32"/>
          <w:szCs w:val="32"/>
        </w:rPr>
      </w:pPr>
      <w:r>
        <w:rPr>
          <w:rFonts w:hint="eastAsia" w:ascii="黑体" w:hAnsi="宋体" w:eastAsia="黑体"/>
          <w:sz w:val="32"/>
          <w:szCs w:val="32"/>
        </w:rPr>
        <w:t>六、关于那曲市委员会宣传部2019年收支预算情况总体说明</w:t>
      </w:r>
    </w:p>
    <w:p>
      <w:pPr>
        <w:ind w:firstLine="640" w:firstLineChars="200"/>
        <w:jc w:val="left"/>
        <w:rPr>
          <w:rFonts w:ascii="仿宋" w:hAnsi="仿宋" w:eastAsia="仿宋"/>
          <w:sz w:val="32"/>
          <w:szCs w:val="32"/>
        </w:rPr>
      </w:pPr>
      <w:r>
        <w:rPr>
          <w:rFonts w:hint="eastAsia" w:ascii="仿宋" w:hAnsi="仿宋" w:eastAsia="仿宋"/>
          <w:sz w:val="32"/>
          <w:szCs w:val="32"/>
        </w:rPr>
        <w:t>2019年一般公共预算收入合计1959.27万元，较2018年一般公共预算支出合计2104.9万元，减少145.63万元，主要原因为2019年项目减少。</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按照综合预算的原则，那曲市委员会宣传部所有收入和支出均纳入部门预算管理。收入包括：一般公共预算拨款收入（1959.27万元）、政府性基金预算拨款收入（0.0万元）、事业收入（0.0万元）、事业单位经营收入（0.0万元）、其他收入（0.0万元）。支出包括：社会保障和就业支出（214.78万元）、医疗卫生与计划生育支出（98.34万元）、住房保障支出（110.7万元）</w:t>
      </w:r>
    </w:p>
    <w:p>
      <w:pPr>
        <w:ind w:firstLine="640" w:firstLineChars="200"/>
        <w:jc w:val="left"/>
        <w:rPr>
          <w:rFonts w:ascii="仿宋" w:hAnsi="仿宋" w:eastAsia="仿宋"/>
          <w:sz w:val="32"/>
          <w:szCs w:val="32"/>
        </w:rPr>
      </w:pPr>
      <w:r>
        <w:rPr>
          <w:rFonts w:hint="eastAsia" w:ascii="黑体" w:hAnsi="宋体" w:eastAsia="黑体"/>
          <w:sz w:val="32"/>
          <w:szCs w:val="32"/>
        </w:rPr>
        <w:t>七、关于那曲市委员会宣传部2019年度收入预算情况说明</w:t>
      </w:r>
    </w:p>
    <w:p>
      <w:pPr>
        <w:ind w:firstLine="640" w:firstLineChars="200"/>
        <w:jc w:val="left"/>
        <w:rPr>
          <w:rFonts w:ascii="黑体" w:hAnsi="宋体" w:eastAsia="黑体"/>
          <w:sz w:val="32"/>
          <w:szCs w:val="32"/>
        </w:rPr>
      </w:pPr>
      <w:r>
        <w:rPr>
          <w:rFonts w:hint="eastAsia" w:ascii="仿宋" w:hAnsi="仿宋" w:eastAsia="仿宋"/>
          <w:sz w:val="32"/>
          <w:szCs w:val="32"/>
        </w:rPr>
        <w:t>那曲市委员会宣传部2019年收入预算1959.27万元，其中一般公共预算拨款收入占100.00%。</w:t>
      </w:r>
    </w:p>
    <w:p>
      <w:pPr>
        <w:ind w:firstLine="640" w:firstLineChars="200"/>
        <w:jc w:val="left"/>
        <w:rPr>
          <w:rFonts w:ascii="黑体" w:hAnsi="宋体" w:eastAsia="黑体"/>
          <w:sz w:val="32"/>
          <w:szCs w:val="32"/>
        </w:rPr>
      </w:pPr>
      <w:r>
        <w:rPr>
          <w:rFonts w:hint="eastAsia" w:ascii="黑体" w:hAnsi="宋体" w:eastAsia="黑体"/>
          <w:sz w:val="32"/>
          <w:szCs w:val="32"/>
        </w:rPr>
        <w:t>八、关于那曲市委员会宣传部2019年度支出预算情况说明</w:t>
      </w:r>
    </w:p>
    <w:p>
      <w:pPr>
        <w:ind w:firstLine="707" w:firstLineChars="221"/>
        <w:jc w:val="left"/>
        <w:rPr>
          <w:rFonts w:ascii="仿宋" w:hAnsi="仿宋" w:eastAsia="仿宋"/>
          <w:sz w:val="32"/>
          <w:szCs w:val="32"/>
          <w:shd w:val="clear" w:color="auto" w:fill="FFFFFF"/>
        </w:rPr>
      </w:pPr>
      <w:r>
        <w:rPr>
          <w:rFonts w:hint="eastAsia" w:ascii="仿宋" w:hAnsi="仿宋" w:eastAsia="仿宋"/>
          <w:sz w:val="32"/>
          <w:szCs w:val="32"/>
        </w:rPr>
        <w:t>那曲市委员会宣传部2019年支出预算1959.27万元，其中：基本支出1678.67万元，</w:t>
      </w:r>
      <w:r>
        <w:rPr>
          <w:rFonts w:hint="eastAsia" w:ascii="仿宋" w:hAnsi="仿宋" w:eastAsia="仿宋"/>
          <w:sz w:val="32"/>
          <w:szCs w:val="32"/>
          <w:shd w:val="clear" w:color="auto" w:fill="FFFFFF"/>
        </w:rPr>
        <w:t>项目支出280.6万元。</w:t>
      </w:r>
    </w:p>
    <w:p>
      <w:pPr>
        <w:ind w:firstLine="640" w:firstLineChars="200"/>
        <w:jc w:val="left"/>
        <w:rPr>
          <w:rFonts w:ascii="黑体" w:hAnsi="宋体" w:eastAsia="黑体"/>
          <w:sz w:val="32"/>
          <w:szCs w:val="32"/>
        </w:rPr>
      </w:pPr>
      <w:r>
        <w:rPr>
          <w:rFonts w:hint="eastAsia" w:ascii="黑体" w:hAnsi="宋体" w:eastAsia="黑体"/>
          <w:sz w:val="32"/>
          <w:szCs w:val="32"/>
        </w:rPr>
        <w:t>九、其他重要事项的情况说明</w:t>
      </w:r>
    </w:p>
    <w:p>
      <w:pPr>
        <w:ind w:firstLine="640" w:firstLineChars="200"/>
        <w:jc w:val="left"/>
        <w:rPr>
          <w:rFonts w:ascii="黑体" w:hAnsi="宋体" w:eastAsia="黑体"/>
          <w:sz w:val="32"/>
          <w:szCs w:val="32"/>
        </w:rPr>
      </w:pPr>
      <w:r>
        <w:rPr>
          <w:rFonts w:hint="eastAsia" w:ascii="仿宋" w:hAnsi="仿宋" w:eastAsia="仿宋"/>
          <w:sz w:val="32"/>
          <w:szCs w:val="32"/>
        </w:rPr>
        <w:t>（一）</w:t>
      </w:r>
      <w:r>
        <w:rPr>
          <w:rFonts w:ascii="黑体" w:hAnsi="宋体" w:eastAsia="黑体"/>
          <w:sz w:val="32"/>
          <w:szCs w:val="32"/>
        </w:rPr>
        <w:t>政府采购情况说明</w:t>
      </w:r>
    </w:p>
    <w:p>
      <w:pPr>
        <w:ind w:firstLine="640" w:firstLineChars="200"/>
        <w:jc w:val="left"/>
        <w:rPr>
          <w:rFonts w:ascii="仿宋" w:hAnsi="仿宋" w:eastAsia="仿宋"/>
          <w:sz w:val="32"/>
          <w:szCs w:val="32"/>
        </w:rPr>
      </w:pPr>
      <w:r>
        <w:rPr>
          <w:rFonts w:hint="eastAsia" w:ascii="仿宋" w:hAnsi="仿宋" w:eastAsia="仿宋"/>
          <w:sz w:val="32"/>
          <w:szCs w:val="32"/>
        </w:rPr>
        <w:t>那曲市委员会宣传部2019年度未安排专项政府采购预算。</w:t>
      </w:r>
    </w:p>
    <w:p>
      <w:pPr>
        <w:ind w:firstLine="640" w:firstLineChars="200"/>
        <w:jc w:val="left"/>
        <w:rPr>
          <w:rFonts w:ascii="黑体" w:hAnsi="宋体" w:eastAsia="黑体"/>
          <w:sz w:val="32"/>
          <w:szCs w:val="32"/>
        </w:rPr>
      </w:pPr>
      <w:r>
        <w:rPr>
          <w:rFonts w:hint="eastAsia" w:ascii="黑体" w:hAnsi="宋体" w:eastAsia="黑体"/>
          <w:sz w:val="32"/>
          <w:szCs w:val="32"/>
        </w:rPr>
        <w:t>（二）国有资产占有使用情况</w:t>
      </w:r>
    </w:p>
    <w:p>
      <w:pPr>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截至2019年1月1日，那曲市委员会宣传部共有5辆，。其中：越野车3 辆、小型载客汽车2辆。</w:t>
      </w:r>
    </w:p>
    <w:p>
      <w:pPr>
        <w:ind w:firstLine="640" w:firstLineChars="200"/>
        <w:jc w:val="left"/>
        <w:rPr>
          <w:rFonts w:ascii="黑体" w:hAnsi="宋体" w:eastAsia="黑体"/>
          <w:sz w:val="32"/>
          <w:szCs w:val="32"/>
        </w:rPr>
      </w:pPr>
      <w:r>
        <w:rPr>
          <w:rFonts w:hint="eastAsia" w:ascii="黑体" w:hAnsi="宋体" w:eastAsia="黑体"/>
          <w:sz w:val="32"/>
          <w:szCs w:val="32"/>
        </w:rPr>
        <w:t>（三）预算绩效情况</w:t>
      </w:r>
    </w:p>
    <w:p>
      <w:pPr>
        <w:ind w:firstLine="640" w:firstLineChars="200"/>
        <w:jc w:val="left"/>
        <w:rPr>
          <w:rFonts w:ascii="仿宋" w:hAnsi="仿宋" w:eastAsia="仿宋"/>
          <w:sz w:val="32"/>
          <w:szCs w:val="32"/>
        </w:rPr>
      </w:pPr>
      <w:r>
        <w:rPr>
          <w:rFonts w:hint="eastAsia" w:ascii="仿宋" w:hAnsi="仿宋" w:eastAsia="仿宋"/>
          <w:sz w:val="32"/>
          <w:szCs w:val="32"/>
        </w:rPr>
        <w:t>那曲市委员会宣传部2019年度未实行预算绩效。</w:t>
      </w:r>
    </w:p>
    <w:p>
      <w:pPr>
        <w:ind w:firstLine="640" w:firstLineChars="200"/>
        <w:jc w:val="left"/>
        <w:rPr>
          <w:rFonts w:ascii="仿宋" w:hAnsi="仿宋" w:eastAsia="仿宋"/>
          <w:sz w:val="32"/>
          <w:szCs w:val="32"/>
        </w:rPr>
      </w:pPr>
    </w:p>
    <w:p>
      <w:pPr>
        <w:spacing w:line="460" w:lineRule="exact"/>
        <w:jc w:val="left"/>
        <w:rPr>
          <w:rFonts w:ascii="黑体" w:hAnsi="宋体" w:eastAsia="黑体"/>
          <w:sz w:val="48"/>
          <w:szCs w:val="48"/>
        </w:rPr>
      </w:pPr>
      <w:r>
        <w:rPr>
          <w:rFonts w:ascii="仿宋" w:hAnsi="仿宋" w:eastAsia="仿宋"/>
          <w:sz w:val="32"/>
          <w:szCs w:val="32"/>
        </w:rPr>
        <w:br w:type="page"/>
      </w: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第四部分</w:t>
      </w:r>
    </w:p>
    <w:p>
      <w:pPr>
        <w:spacing w:line="460" w:lineRule="exact"/>
        <w:jc w:val="center"/>
        <w:rPr>
          <w:rFonts w:ascii="黑体" w:hAnsi="宋体" w:eastAsia="黑体"/>
          <w:sz w:val="48"/>
          <w:szCs w:val="48"/>
        </w:rPr>
      </w:pPr>
    </w:p>
    <w:p>
      <w:pPr>
        <w:spacing w:line="460" w:lineRule="exact"/>
        <w:jc w:val="center"/>
        <w:rPr>
          <w:rFonts w:hint="eastAsia" w:ascii="黑体" w:hAnsi="宋体" w:eastAsia="黑体"/>
          <w:sz w:val="48"/>
          <w:szCs w:val="48"/>
        </w:rPr>
      </w:pPr>
      <w:r>
        <w:rPr>
          <w:rFonts w:hint="eastAsia" w:ascii="黑体" w:hAnsi="宋体" w:eastAsia="黑体"/>
          <w:sz w:val="48"/>
          <w:szCs w:val="48"/>
        </w:rPr>
        <w:t>名词解释</w:t>
      </w: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center"/>
        <w:rPr>
          <w:rFonts w:hint="eastAsia" w:ascii="黑体" w:hAnsi="宋体" w:eastAsia="黑体"/>
          <w:sz w:val="48"/>
          <w:szCs w:val="48"/>
        </w:rPr>
      </w:pPr>
    </w:p>
    <w:p>
      <w:pPr>
        <w:spacing w:line="460" w:lineRule="exact"/>
        <w:jc w:val="both"/>
        <w:rPr>
          <w:rFonts w:hint="eastAsia" w:ascii="黑体" w:hAnsi="宋体" w:eastAsia="黑体"/>
          <w:sz w:val="48"/>
          <w:szCs w:val="48"/>
        </w:rPr>
      </w:pPr>
      <w:bookmarkStart w:id="0" w:name="_GoBack"/>
      <w:bookmarkEnd w:id="0"/>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一般公共预算拨款收入：指市财政当年拨付的资金。</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事业收入：指事业单位开展专业业务活动及辅助活动所取得的收入。那曲市委员会宣传部。</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事业单位经营收入：指事业单位在专业业务活动及其辅助活动之外开展非独立核算经营活动取得的收入。那曲市委员会宣传部无此收入。</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其他收入：指除上述“一般公共预算拨款收入”、“事业收入”、“事业单位经营收入”等以外的收入。那曲市委员会宣传部无此收入。</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社会保障和就业（类）行政事业单位离退休（款）归口管理的行政单位离退休（项）：指那曲市委员会宣传部离退休人员的支出。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住房保障（类）住房改革支出（款）住房公积金（项）：指按照《住房公积金管理条例》的规定，由单位及其在职职工缴存的长期住房储金。那曲市委员会宣传部作为全额拨款事业单位，缴存比例为12%，缴存基数为职工本人上上年工资，包括国家统一规定的岗位工资、薪级工资、西藏特殊津贴、艰苦边远地区津贴、高海拔工龄津贴等。</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医疗卫生与计划生育支出（类）公共卫生（款）疾病预防控制机构（项）:指那曲市委员会宣传部基本工作开展方面的支出，包括基本支出和项目支出。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基本支出：指为保障机构正常运转、完成日常工作任务而发生的人员支出和公用支出。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项目支出：指在基本支出之外为完成特定行政任务和事业发展目标所发生的支出。那曲市委员会宣传部无此支出。</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hAnsi="宋体" w:eastAsia="仿宋_GB2312" w:cs="宋体"/>
          <w:sz w:val="32"/>
          <w:szCs w:val="32"/>
        </w:rPr>
        <w:t>行政单位医疗：指财政集中安排的行政单位医疗保险缴费经费。</w:t>
      </w:r>
    </w:p>
    <w:p>
      <w:pPr>
        <w:pStyle w:val="13"/>
        <w:numPr>
          <w:ilvl w:val="0"/>
          <w:numId w:val="3"/>
        </w:numPr>
        <w:autoSpaceDE w:val="0"/>
        <w:autoSpaceDN w:val="0"/>
        <w:adjustRightInd w:val="0"/>
        <w:spacing w:line="560" w:lineRule="exact"/>
        <w:ind w:left="0" w:firstLine="848" w:firstLineChars="265"/>
        <w:jc w:val="left"/>
        <w:rPr>
          <w:rFonts w:ascii="仿宋_GB2312" w:eastAsia="仿宋_GB2312" w:cs="仿宋"/>
          <w:kern w:val="0"/>
          <w:sz w:val="32"/>
          <w:szCs w:val="32"/>
        </w:rPr>
      </w:pPr>
      <w:r>
        <w:rPr>
          <w:rFonts w:hint="eastAsia" w:ascii="仿宋_GB2312" w:eastAsia="仿宋_GB2312" w:cs="仿宋"/>
          <w:kern w:val="0"/>
          <w:sz w:val="32"/>
          <w:szCs w:val="32"/>
        </w:rPr>
        <w:t>“三公”经费：纳入市财政预决算管理的“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pgSz w:w="11906" w:h="16838"/>
      <w:pgMar w:top="1418" w:right="907" w:bottom="907" w:left="90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28</w:t>
    </w:r>
    <w:r>
      <w:rPr>
        <w:rStyle w:val="9"/>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1BA1"/>
    <w:multiLevelType w:val="multilevel"/>
    <w:tmpl w:val="43FE1BA1"/>
    <w:lvl w:ilvl="0" w:tentative="0">
      <w:start w:val="1"/>
      <w:numFmt w:val="japaneseCounting"/>
      <w:lvlText w:val="（%1）"/>
      <w:lvlJc w:val="left"/>
      <w:pPr>
        <w:ind w:left="2073" w:hanging="10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14B178"/>
    <w:multiLevelType w:val="singleLevel"/>
    <w:tmpl w:val="5B14B178"/>
    <w:lvl w:ilvl="0" w:tentative="0">
      <w:start w:val="2"/>
      <w:numFmt w:val="chineseCounting"/>
      <w:suff w:val="nothing"/>
      <w:lvlText w:val="（%1)"/>
      <w:lvlJc w:val="left"/>
    </w:lvl>
  </w:abstractNum>
  <w:abstractNum w:abstractNumId="2">
    <w:nsid w:val="5B14E48B"/>
    <w:multiLevelType w:val="singleLevel"/>
    <w:tmpl w:val="5B14E48B"/>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6E0"/>
    <w:rsid w:val="00000A9B"/>
    <w:rsid w:val="00000EDB"/>
    <w:rsid w:val="00000F6C"/>
    <w:rsid w:val="00001BB3"/>
    <w:rsid w:val="00005BCF"/>
    <w:rsid w:val="000064B6"/>
    <w:rsid w:val="0000666C"/>
    <w:rsid w:val="00012974"/>
    <w:rsid w:val="00013C37"/>
    <w:rsid w:val="00015342"/>
    <w:rsid w:val="00015F4D"/>
    <w:rsid w:val="000348B8"/>
    <w:rsid w:val="000370DC"/>
    <w:rsid w:val="00037BE3"/>
    <w:rsid w:val="00041120"/>
    <w:rsid w:val="00042632"/>
    <w:rsid w:val="00043BD0"/>
    <w:rsid w:val="00044A1F"/>
    <w:rsid w:val="00070A0E"/>
    <w:rsid w:val="0007736D"/>
    <w:rsid w:val="0009277E"/>
    <w:rsid w:val="000A0A9E"/>
    <w:rsid w:val="000A0C30"/>
    <w:rsid w:val="000A192B"/>
    <w:rsid w:val="000A3238"/>
    <w:rsid w:val="000A60CD"/>
    <w:rsid w:val="000A79B6"/>
    <w:rsid w:val="000B1B29"/>
    <w:rsid w:val="000B45A9"/>
    <w:rsid w:val="000C282E"/>
    <w:rsid w:val="000C3248"/>
    <w:rsid w:val="000C43F9"/>
    <w:rsid w:val="000C6C13"/>
    <w:rsid w:val="000D20C2"/>
    <w:rsid w:val="000D4C3E"/>
    <w:rsid w:val="000D6154"/>
    <w:rsid w:val="000D65E8"/>
    <w:rsid w:val="000E231B"/>
    <w:rsid w:val="000E2EDA"/>
    <w:rsid w:val="000F2404"/>
    <w:rsid w:val="001026E0"/>
    <w:rsid w:val="00102B0E"/>
    <w:rsid w:val="001132A9"/>
    <w:rsid w:val="001170BB"/>
    <w:rsid w:val="00124CE8"/>
    <w:rsid w:val="001251FE"/>
    <w:rsid w:val="001252E5"/>
    <w:rsid w:val="001337DD"/>
    <w:rsid w:val="0014264E"/>
    <w:rsid w:val="00142F67"/>
    <w:rsid w:val="00151DFA"/>
    <w:rsid w:val="001520CC"/>
    <w:rsid w:val="001549E6"/>
    <w:rsid w:val="001566F8"/>
    <w:rsid w:val="0017073B"/>
    <w:rsid w:val="0017102B"/>
    <w:rsid w:val="00172075"/>
    <w:rsid w:val="00175480"/>
    <w:rsid w:val="00185BD5"/>
    <w:rsid w:val="001871A9"/>
    <w:rsid w:val="00187C98"/>
    <w:rsid w:val="0019333F"/>
    <w:rsid w:val="00193FEF"/>
    <w:rsid w:val="00194610"/>
    <w:rsid w:val="001A5518"/>
    <w:rsid w:val="001A70D7"/>
    <w:rsid w:val="001A7B4D"/>
    <w:rsid w:val="001B1B7B"/>
    <w:rsid w:val="001B4065"/>
    <w:rsid w:val="001B767B"/>
    <w:rsid w:val="001C0178"/>
    <w:rsid w:val="001C385C"/>
    <w:rsid w:val="001C67CF"/>
    <w:rsid w:val="001D46E5"/>
    <w:rsid w:val="001D49EE"/>
    <w:rsid w:val="001D660B"/>
    <w:rsid w:val="001D73BD"/>
    <w:rsid w:val="001E3BFC"/>
    <w:rsid w:val="001E6D89"/>
    <w:rsid w:val="001F37C5"/>
    <w:rsid w:val="001F47BD"/>
    <w:rsid w:val="001F652F"/>
    <w:rsid w:val="001F65AF"/>
    <w:rsid w:val="001F681E"/>
    <w:rsid w:val="001F71D2"/>
    <w:rsid w:val="00202E30"/>
    <w:rsid w:val="0021333D"/>
    <w:rsid w:val="00215B43"/>
    <w:rsid w:val="00215EC4"/>
    <w:rsid w:val="00220B54"/>
    <w:rsid w:val="002240B5"/>
    <w:rsid w:val="002262B6"/>
    <w:rsid w:val="002263A9"/>
    <w:rsid w:val="002273C8"/>
    <w:rsid w:val="00234E67"/>
    <w:rsid w:val="00235F5D"/>
    <w:rsid w:val="00237AB2"/>
    <w:rsid w:val="00237C88"/>
    <w:rsid w:val="00240438"/>
    <w:rsid w:val="002420A3"/>
    <w:rsid w:val="00247AB6"/>
    <w:rsid w:val="002525E9"/>
    <w:rsid w:val="00253C37"/>
    <w:rsid w:val="00273900"/>
    <w:rsid w:val="00285BB0"/>
    <w:rsid w:val="0029059A"/>
    <w:rsid w:val="002934AF"/>
    <w:rsid w:val="00295D05"/>
    <w:rsid w:val="002A00F7"/>
    <w:rsid w:val="002A3954"/>
    <w:rsid w:val="002B0184"/>
    <w:rsid w:val="002C7AC2"/>
    <w:rsid w:val="002D6813"/>
    <w:rsid w:val="002D6EF9"/>
    <w:rsid w:val="002E229B"/>
    <w:rsid w:val="002E403D"/>
    <w:rsid w:val="002F0002"/>
    <w:rsid w:val="002F4437"/>
    <w:rsid w:val="002F47BA"/>
    <w:rsid w:val="00305367"/>
    <w:rsid w:val="0030679E"/>
    <w:rsid w:val="003079EB"/>
    <w:rsid w:val="00312F8D"/>
    <w:rsid w:val="0031669D"/>
    <w:rsid w:val="00316AC5"/>
    <w:rsid w:val="003173B5"/>
    <w:rsid w:val="00322768"/>
    <w:rsid w:val="00322C7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328F"/>
    <w:rsid w:val="003A409E"/>
    <w:rsid w:val="003B12A0"/>
    <w:rsid w:val="003B737F"/>
    <w:rsid w:val="003C15F0"/>
    <w:rsid w:val="003C37CA"/>
    <w:rsid w:val="003C6002"/>
    <w:rsid w:val="003E113F"/>
    <w:rsid w:val="003E11CF"/>
    <w:rsid w:val="003F1CC7"/>
    <w:rsid w:val="003F54E4"/>
    <w:rsid w:val="00400240"/>
    <w:rsid w:val="00404324"/>
    <w:rsid w:val="00406674"/>
    <w:rsid w:val="004079B5"/>
    <w:rsid w:val="00407FCD"/>
    <w:rsid w:val="004177D0"/>
    <w:rsid w:val="00424873"/>
    <w:rsid w:val="00427770"/>
    <w:rsid w:val="00430C57"/>
    <w:rsid w:val="00434C39"/>
    <w:rsid w:val="004401A5"/>
    <w:rsid w:val="00446D4A"/>
    <w:rsid w:val="004521D5"/>
    <w:rsid w:val="004539FE"/>
    <w:rsid w:val="00455406"/>
    <w:rsid w:val="00457EA9"/>
    <w:rsid w:val="00463366"/>
    <w:rsid w:val="00473415"/>
    <w:rsid w:val="0048190F"/>
    <w:rsid w:val="00483DD6"/>
    <w:rsid w:val="0049276B"/>
    <w:rsid w:val="00492F9D"/>
    <w:rsid w:val="0049330E"/>
    <w:rsid w:val="00493E00"/>
    <w:rsid w:val="00494650"/>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5739"/>
    <w:rsid w:val="004D7EC3"/>
    <w:rsid w:val="004E0153"/>
    <w:rsid w:val="004E0DB2"/>
    <w:rsid w:val="004E1B2E"/>
    <w:rsid w:val="004E310E"/>
    <w:rsid w:val="004E41D6"/>
    <w:rsid w:val="00501190"/>
    <w:rsid w:val="00511325"/>
    <w:rsid w:val="0051560E"/>
    <w:rsid w:val="0052615B"/>
    <w:rsid w:val="00534A7C"/>
    <w:rsid w:val="00543037"/>
    <w:rsid w:val="00544157"/>
    <w:rsid w:val="005468A0"/>
    <w:rsid w:val="0055534D"/>
    <w:rsid w:val="005571C8"/>
    <w:rsid w:val="00564459"/>
    <w:rsid w:val="00570B6C"/>
    <w:rsid w:val="00574634"/>
    <w:rsid w:val="00574E68"/>
    <w:rsid w:val="0057795E"/>
    <w:rsid w:val="005A03DC"/>
    <w:rsid w:val="005A04FF"/>
    <w:rsid w:val="005A0EA1"/>
    <w:rsid w:val="005A33ED"/>
    <w:rsid w:val="005A4B7E"/>
    <w:rsid w:val="005A60E8"/>
    <w:rsid w:val="005A6770"/>
    <w:rsid w:val="005B5FE7"/>
    <w:rsid w:val="005B6BEC"/>
    <w:rsid w:val="005B74BB"/>
    <w:rsid w:val="005C10E0"/>
    <w:rsid w:val="005C40E5"/>
    <w:rsid w:val="005C4615"/>
    <w:rsid w:val="005C6149"/>
    <w:rsid w:val="005D5FEF"/>
    <w:rsid w:val="005E008A"/>
    <w:rsid w:val="005E1089"/>
    <w:rsid w:val="005E35D0"/>
    <w:rsid w:val="005E76A6"/>
    <w:rsid w:val="005F4D13"/>
    <w:rsid w:val="00603671"/>
    <w:rsid w:val="0060546C"/>
    <w:rsid w:val="0060590B"/>
    <w:rsid w:val="00605E1E"/>
    <w:rsid w:val="00611519"/>
    <w:rsid w:val="00611BBB"/>
    <w:rsid w:val="0061749B"/>
    <w:rsid w:val="006211FC"/>
    <w:rsid w:val="006275BE"/>
    <w:rsid w:val="0063162F"/>
    <w:rsid w:val="00633690"/>
    <w:rsid w:val="00645BC3"/>
    <w:rsid w:val="006509C3"/>
    <w:rsid w:val="00651CCF"/>
    <w:rsid w:val="0066199A"/>
    <w:rsid w:val="00662321"/>
    <w:rsid w:val="006647E0"/>
    <w:rsid w:val="00670208"/>
    <w:rsid w:val="00675C84"/>
    <w:rsid w:val="0068314F"/>
    <w:rsid w:val="00683AD7"/>
    <w:rsid w:val="00687D70"/>
    <w:rsid w:val="00697DD8"/>
    <w:rsid w:val="006A1673"/>
    <w:rsid w:val="006A5E9E"/>
    <w:rsid w:val="006B19AE"/>
    <w:rsid w:val="006B5008"/>
    <w:rsid w:val="006C245B"/>
    <w:rsid w:val="006C569D"/>
    <w:rsid w:val="006C6008"/>
    <w:rsid w:val="006C63EC"/>
    <w:rsid w:val="006C7173"/>
    <w:rsid w:val="006E6B42"/>
    <w:rsid w:val="006F0213"/>
    <w:rsid w:val="006F73F9"/>
    <w:rsid w:val="006F7C26"/>
    <w:rsid w:val="00702EE2"/>
    <w:rsid w:val="00710AD7"/>
    <w:rsid w:val="00717065"/>
    <w:rsid w:val="007201CB"/>
    <w:rsid w:val="00722EC0"/>
    <w:rsid w:val="00723A95"/>
    <w:rsid w:val="00724C7B"/>
    <w:rsid w:val="00726265"/>
    <w:rsid w:val="00732B06"/>
    <w:rsid w:val="00735AE3"/>
    <w:rsid w:val="00747111"/>
    <w:rsid w:val="00747CEF"/>
    <w:rsid w:val="007520E7"/>
    <w:rsid w:val="0075403D"/>
    <w:rsid w:val="00755E95"/>
    <w:rsid w:val="00763314"/>
    <w:rsid w:val="00764C16"/>
    <w:rsid w:val="00771169"/>
    <w:rsid w:val="00771A16"/>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55B1"/>
    <w:rsid w:val="007D65BE"/>
    <w:rsid w:val="007E22B6"/>
    <w:rsid w:val="007F2636"/>
    <w:rsid w:val="007F73DD"/>
    <w:rsid w:val="008026B4"/>
    <w:rsid w:val="00803C97"/>
    <w:rsid w:val="00804BB7"/>
    <w:rsid w:val="0080588D"/>
    <w:rsid w:val="0080667E"/>
    <w:rsid w:val="008069A8"/>
    <w:rsid w:val="00806D27"/>
    <w:rsid w:val="008131FD"/>
    <w:rsid w:val="008157A5"/>
    <w:rsid w:val="00815858"/>
    <w:rsid w:val="00817218"/>
    <w:rsid w:val="00820681"/>
    <w:rsid w:val="00825BE5"/>
    <w:rsid w:val="00827238"/>
    <w:rsid w:val="0083170F"/>
    <w:rsid w:val="008366DE"/>
    <w:rsid w:val="00840210"/>
    <w:rsid w:val="00846054"/>
    <w:rsid w:val="00854E0F"/>
    <w:rsid w:val="00854E20"/>
    <w:rsid w:val="00855772"/>
    <w:rsid w:val="00856BBB"/>
    <w:rsid w:val="0086333C"/>
    <w:rsid w:val="00864CD9"/>
    <w:rsid w:val="0086784E"/>
    <w:rsid w:val="00867C17"/>
    <w:rsid w:val="00873545"/>
    <w:rsid w:val="008744C8"/>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FFC"/>
    <w:rsid w:val="008F2D6A"/>
    <w:rsid w:val="00902033"/>
    <w:rsid w:val="00902AF7"/>
    <w:rsid w:val="00912399"/>
    <w:rsid w:val="00916092"/>
    <w:rsid w:val="00916249"/>
    <w:rsid w:val="0093086A"/>
    <w:rsid w:val="00943B80"/>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01F0"/>
    <w:rsid w:val="009C33EF"/>
    <w:rsid w:val="009C6035"/>
    <w:rsid w:val="009D1A24"/>
    <w:rsid w:val="009D4215"/>
    <w:rsid w:val="009D7608"/>
    <w:rsid w:val="009F0B70"/>
    <w:rsid w:val="009F4044"/>
    <w:rsid w:val="009F4BBE"/>
    <w:rsid w:val="009F6F84"/>
    <w:rsid w:val="00A00F7F"/>
    <w:rsid w:val="00A0325C"/>
    <w:rsid w:val="00A0573E"/>
    <w:rsid w:val="00A12B81"/>
    <w:rsid w:val="00A15D00"/>
    <w:rsid w:val="00A1641F"/>
    <w:rsid w:val="00A16719"/>
    <w:rsid w:val="00A31616"/>
    <w:rsid w:val="00A322E4"/>
    <w:rsid w:val="00A36BAB"/>
    <w:rsid w:val="00A42A72"/>
    <w:rsid w:val="00A42D97"/>
    <w:rsid w:val="00A50FB4"/>
    <w:rsid w:val="00A5423B"/>
    <w:rsid w:val="00A60388"/>
    <w:rsid w:val="00A731F8"/>
    <w:rsid w:val="00A75146"/>
    <w:rsid w:val="00A817CC"/>
    <w:rsid w:val="00A82216"/>
    <w:rsid w:val="00A8277E"/>
    <w:rsid w:val="00A839A1"/>
    <w:rsid w:val="00A83E50"/>
    <w:rsid w:val="00A84483"/>
    <w:rsid w:val="00A91140"/>
    <w:rsid w:val="00A9298E"/>
    <w:rsid w:val="00A94DA8"/>
    <w:rsid w:val="00A960F6"/>
    <w:rsid w:val="00AB223F"/>
    <w:rsid w:val="00AC06CE"/>
    <w:rsid w:val="00AD58A5"/>
    <w:rsid w:val="00AE56DF"/>
    <w:rsid w:val="00AF617F"/>
    <w:rsid w:val="00AF702E"/>
    <w:rsid w:val="00B16F04"/>
    <w:rsid w:val="00B24B71"/>
    <w:rsid w:val="00B252E9"/>
    <w:rsid w:val="00B330AA"/>
    <w:rsid w:val="00B35DF8"/>
    <w:rsid w:val="00B456F7"/>
    <w:rsid w:val="00B55C32"/>
    <w:rsid w:val="00B61C08"/>
    <w:rsid w:val="00B6329D"/>
    <w:rsid w:val="00B71D11"/>
    <w:rsid w:val="00B83AD3"/>
    <w:rsid w:val="00B853BC"/>
    <w:rsid w:val="00B93272"/>
    <w:rsid w:val="00BA1EC4"/>
    <w:rsid w:val="00BA2282"/>
    <w:rsid w:val="00BA2AAE"/>
    <w:rsid w:val="00BA40D8"/>
    <w:rsid w:val="00BB3820"/>
    <w:rsid w:val="00BC1E99"/>
    <w:rsid w:val="00BC70AF"/>
    <w:rsid w:val="00BD2609"/>
    <w:rsid w:val="00BE2860"/>
    <w:rsid w:val="00BE5BA0"/>
    <w:rsid w:val="00BE5DCE"/>
    <w:rsid w:val="00BF067B"/>
    <w:rsid w:val="00BF5087"/>
    <w:rsid w:val="00BF564A"/>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90E84"/>
    <w:rsid w:val="00C92A82"/>
    <w:rsid w:val="00C93485"/>
    <w:rsid w:val="00C93F0D"/>
    <w:rsid w:val="00C93FBC"/>
    <w:rsid w:val="00CA01F9"/>
    <w:rsid w:val="00CA0863"/>
    <w:rsid w:val="00CA21CB"/>
    <w:rsid w:val="00CA495D"/>
    <w:rsid w:val="00CA5522"/>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6C52"/>
    <w:rsid w:val="00D2411D"/>
    <w:rsid w:val="00D27759"/>
    <w:rsid w:val="00D3160D"/>
    <w:rsid w:val="00D369EB"/>
    <w:rsid w:val="00D36D44"/>
    <w:rsid w:val="00D43317"/>
    <w:rsid w:val="00D57126"/>
    <w:rsid w:val="00D57776"/>
    <w:rsid w:val="00D57F2A"/>
    <w:rsid w:val="00D6368F"/>
    <w:rsid w:val="00D70A56"/>
    <w:rsid w:val="00D70C01"/>
    <w:rsid w:val="00D718F4"/>
    <w:rsid w:val="00D722DE"/>
    <w:rsid w:val="00D76C6E"/>
    <w:rsid w:val="00D77967"/>
    <w:rsid w:val="00D80F51"/>
    <w:rsid w:val="00D81EDD"/>
    <w:rsid w:val="00D83AFA"/>
    <w:rsid w:val="00D85304"/>
    <w:rsid w:val="00D91891"/>
    <w:rsid w:val="00D925C8"/>
    <w:rsid w:val="00DA0C82"/>
    <w:rsid w:val="00DA6088"/>
    <w:rsid w:val="00DA78D4"/>
    <w:rsid w:val="00DB2CB8"/>
    <w:rsid w:val="00DB3245"/>
    <w:rsid w:val="00DC50F0"/>
    <w:rsid w:val="00DD5103"/>
    <w:rsid w:val="00DE02BF"/>
    <w:rsid w:val="00DE2253"/>
    <w:rsid w:val="00DE268F"/>
    <w:rsid w:val="00DF036B"/>
    <w:rsid w:val="00DF5B02"/>
    <w:rsid w:val="00E017A9"/>
    <w:rsid w:val="00E07B64"/>
    <w:rsid w:val="00E10E83"/>
    <w:rsid w:val="00E13F71"/>
    <w:rsid w:val="00E146B4"/>
    <w:rsid w:val="00E23026"/>
    <w:rsid w:val="00E235E1"/>
    <w:rsid w:val="00E26C30"/>
    <w:rsid w:val="00E44184"/>
    <w:rsid w:val="00E55046"/>
    <w:rsid w:val="00E551FA"/>
    <w:rsid w:val="00E70266"/>
    <w:rsid w:val="00E73B7F"/>
    <w:rsid w:val="00E747B0"/>
    <w:rsid w:val="00E772DF"/>
    <w:rsid w:val="00E773CB"/>
    <w:rsid w:val="00E80762"/>
    <w:rsid w:val="00E838E0"/>
    <w:rsid w:val="00E900CF"/>
    <w:rsid w:val="00E95D6E"/>
    <w:rsid w:val="00EB29F4"/>
    <w:rsid w:val="00EC0386"/>
    <w:rsid w:val="00EC6AE3"/>
    <w:rsid w:val="00ED19F0"/>
    <w:rsid w:val="00ED20FD"/>
    <w:rsid w:val="00ED2D60"/>
    <w:rsid w:val="00ED47C1"/>
    <w:rsid w:val="00EE1857"/>
    <w:rsid w:val="00EE21DA"/>
    <w:rsid w:val="00EE23B8"/>
    <w:rsid w:val="00EE2D4F"/>
    <w:rsid w:val="00EE30EB"/>
    <w:rsid w:val="00EE7722"/>
    <w:rsid w:val="00EF42F7"/>
    <w:rsid w:val="00EF4B13"/>
    <w:rsid w:val="00F01B31"/>
    <w:rsid w:val="00F02FF5"/>
    <w:rsid w:val="00F1010B"/>
    <w:rsid w:val="00F11873"/>
    <w:rsid w:val="00F14F11"/>
    <w:rsid w:val="00F23059"/>
    <w:rsid w:val="00F24A2B"/>
    <w:rsid w:val="00F3036A"/>
    <w:rsid w:val="00F31216"/>
    <w:rsid w:val="00F324AF"/>
    <w:rsid w:val="00F34A73"/>
    <w:rsid w:val="00F35819"/>
    <w:rsid w:val="00F401DF"/>
    <w:rsid w:val="00F40AEA"/>
    <w:rsid w:val="00F40FB6"/>
    <w:rsid w:val="00F410D7"/>
    <w:rsid w:val="00F42953"/>
    <w:rsid w:val="00F45CFF"/>
    <w:rsid w:val="00F50831"/>
    <w:rsid w:val="00F530D2"/>
    <w:rsid w:val="00F54C87"/>
    <w:rsid w:val="00F62B7F"/>
    <w:rsid w:val="00F7159E"/>
    <w:rsid w:val="00F72E63"/>
    <w:rsid w:val="00F75E95"/>
    <w:rsid w:val="00F75EB9"/>
    <w:rsid w:val="00F81A4A"/>
    <w:rsid w:val="00F91FBC"/>
    <w:rsid w:val="00FA340E"/>
    <w:rsid w:val="00FB2EC0"/>
    <w:rsid w:val="00FB385F"/>
    <w:rsid w:val="00FB4373"/>
    <w:rsid w:val="00FC6165"/>
    <w:rsid w:val="00FC7B6C"/>
    <w:rsid w:val="00FD1AEB"/>
    <w:rsid w:val="00FD539C"/>
    <w:rsid w:val="00FE25CC"/>
    <w:rsid w:val="00FE4C5E"/>
    <w:rsid w:val="00FE6733"/>
    <w:rsid w:val="00FF34F0"/>
    <w:rsid w:val="00FF39E9"/>
    <w:rsid w:val="00FF68DD"/>
    <w:rsid w:val="010121B4"/>
    <w:rsid w:val="011646D7"/>
    <w:rsid w:val="01520CB9"/>
    <w:rsid w:val="01B554DA"/>
    <w:rsid w:val="02397CB2"/>
    <w:rsid w:val="02410942"/>
    <w:rsid w:val="026174A6"/>
    <w:rsid w:val="02863634"/>
    <w:rsid w:val="071A2D33"/>
    <w:rsid w:val="08C40B70"/>
    <w:rsid w:val="0AAD38EE"/>
    <w:rsid w:val="0B553428"/>
    <w:rsid w:val="0B6A7B4A"/>
    <w:rsid w:val="0B7C7A64"/>
    <w:rsid w:val="0C8D69A8"/>
    <w:rsid w:val="0C942AAF"/>
    <w:rsid w:val="0E394465"/>
    <w:rsid w:val="0E887A67"/>
    <w:rsid w:val="103819AC"/>
    <w:rsid w:val="114875EB"/>
    <w:rsid w:val="121534BC"/>
    <w:rsid w:val="12444F04"/>
    <w:rsid w:val="12AE6B32"/>
    <w:rsid w:val="12F26322"/>
    <w:rsid w:val="154A2FFE"/>
    <w:rsid w:val="15EB3A81"/>
    <w:rsid w:val="15EF65FB"/>
    <w:rsid w:val="172B7C90"/>
    <w:rsid w:val="186117D3"/>
    <w:rsid w:val="18DD095C"/>
    <w:rsid w:val="1A4A30B1"/>
    <w:rsid w:val="1B181180"/>
    <w:rsid w:val="1D7E18EE"/>
    <w:rsid w:val="1FA55DFC"/>
    <w:rsid w:val="210B3144"/>
    <w:rsid w:val="22295B1A"/>
    <w:rsid w:val="250C32D4"/>
    <w:rsid w:val="251903EC"/>
    <w:rsid w:val="25CA498C"/>
    <w:rsid w:val="267D7CB3"/>
    <w:rsid w:val="268663C4"/>
    <w:rsid w:val="28493AA6"/>
    <w:rsid w:val="28F12FBA"/>
    <w:rsid w:val="29934289"/>
    <w:rsid w:val="2BA8442D"/>
    <w:rsid w:val="2C1B0EE8"/>
    <w:rsid w:val="2CAE175C"/>
    <w:rsid w:val="2D9C13E5"/>
    <w:rsid w:val="2DA77776"/>
    <w:rsid w:val="2E8E41F0"/>
    <w:rsid w:val="2EE82BF1"/>
    <w:rsid w:val="2FDC6090"/>
    <w:rsid w:val="2FF23AB7"/>
    <w:rsid w:val="306D597F"/>
    <w:rsid w:val="3279475B"/>
    <w:rsid w:val="329C1497"/>
    <w:rsid w:val="33AA0350"/>
    <w:rsid w:val="33D0278E"/>
    <w:rsid w:val="33F25A8D"/>
    <w:rsid w:val="33FD5BDC"/>
    <w:rsid w:val="341A3E87"/>
    <w:rsid w:val="348338B6"/>
    <w:rsid w:val="361D3657"/>
    <w:rsid w:val="3671785E"/>
    <w:rsid w:val="36FD2CC6"/>
    <w:rsid w:val="380F1889"/>
    <w:rsid w:val="38615E10"/>
    <w:rsid w:val="38FA1486"/>
    <w:rsid w:val="3A0E5ACB"/>
    <w:rsid w:val="3A844811"/>
    <w:rsid w:val="3A9C6634"/>
    <w:rsid w:val="3B8443B3"/>
    <w:rsid w:val="3C086B8B"/>
    <w:rsid w:val="3C5F2E1D"/>
    <w:rsid w:val="3C88075E"/>
    <w:rsid w:val="3C8903DE"/>
    <w:rsid w:val="3D394CFE"/>
    <w:rsid w:val="3E713B01"/>
    <w:rsid w:val="3EED5649"/>
    <w:rsid w:val="3F965E62"/>
    <w:rsid w:val="3FAC4783"/>
    <w:rsid w:val="3FF67181"/>
    <w:rsid w:val="439C49F8"/>
    <w:rsid w:val="43B452FC"/>
    <w:rsid w:val="43FD3798"/>
    <w:rsid w:val="44D16FF4"/>
    <w:rsid w:val="45B52AE9"/>
    <w:rsid w:val="46554BF1"/>
    <w:rsid w:val="46E3355B"/>
    <w:rsid w:val="48147151"/>
    <w:rsid w:val="485D4FC6"/>
    <w:rsid w:val="48BA3162"/>
    <w:rsid w:val="49E4194A"/>
    <w:rsid w:val="49EB12D5"/>
    <w:rsid w:val="4A0E278E"/>
    <w:rsid w:val="4B3969F9"/>
    <w:rsid w:val="4B4D1E16"/>
    <w:rsid w:val="4B7A3702"/>
    <w:rsid w:val="4E753947"/>
    <w:rsid w:val="4F5167AE"/>
    <w:rsid w:val="51322546"/>
    <w:rsid w:val="515654C5"/>
    <w:rsid w:val="51F27101"/>
    <w:rsid w:val="52CD22E8"/>
    <w:rsid w:val="540A1CEF"/>
    <w:rsid w:val="54113878"/>
    <w:rsid w:val="54E95ADA"/>
    <w:rsid w:val="55D944E9"/>
    <w:rsid w:val="56EA4326"/>
    <w:rsid w:val="58E239A8"/>
    <w:rsid w:val="5BDA79C2"/>
    <w:rsid w:val="5CEA77FF"/>
    <w:rsid w:val="5D6E585A"/>
    <w:rsid w:val="5E165C67"/>
    <w:rsid w:val="5E3929A4"/>
    <w:rsid w:val="5E4210B5"/>
    <w:rsid w:val="5E4F4B48"/>
    <w:rsid w:val="60607DAB"/>
    <w:rsid w:val="607D18D9"/>
    <w:rsid w:val="60B47835"/>
    <w:rsid w:val="62631AFA"/>
    <w:rsid w:val="629F3EDD"/>
    <w:rsid w:val="643861FD"/>
    <w:rsid w:val="64E11B0D"/>
    <w:rsid w:val="66E20DA6"/>
    <w:rsid w:val="67034111"/>
    <w:rsid w:val="67BD3540"/>
    <w:rsid w:val="6A621215"/>
    <w:rsid w:val="6CD23598"/>
    <w:rsid w:val="6D887843"/>
    <w:rsid w:val="6EFE06AA"/>
    <w:rsid w:val="6F1C43D6"/>
    <w:rsid w:val="6F3C270D"/>
    <w:rsid w:val="6F927898"/>
    <w:rsid w:val="7038712D"/>
    <w:rsid w:val="726A28C4"/>
    <w:rsid w:val="735C0F53"/>
    <w:rsid w:val="73830E13"/>
    <w:rsid w:val="740D3B24"/>
    <w:rsid w:val="743F3744"/>
    <w:rsid w:val="745201E6"/>
    <w:rsid w:val="75625E25"/>
    <w:rsid w:val="766E39D9"/>
    <w:rsid w:val="77050A54"/>
    <w:rsid w:val="771F5D7B"/>
    <w:rsid w:val="7762336C"/>
    <w:rsid w:val="776442F1"/>
    <w:rsid w:val="777C3F16"/>
    <w:rsid w:val="784B54E8"/>
    <w:rsid w:val="79202048"/>
    <w:rsid w:val="79971C87"/>
    <w:rsid w:val="79D62A71"/>
    <w:rsid w:val="7AA36941"/>
    <w:rsid w:val="7C1054C8"/>
    <w:rsid w:val="7C6E1430"/>
    <w:rsid w:val="7CF53C93"/>
    <w:rsid w:val="7D71105E"/>
    <w:rsid w:val="7D87797E"/>
    <w:rsid w:val="7F2B5E3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line="576" w:lineRule="auto"/>
      <w:outlineLvl w:val="0"/>
    </w:pPr>
    <w:rPr>
      <w:b/>
      <w:kern w:val="44"/>
      <w:sz w:val="44"/>
      <w:szCs w:val="20"/>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annotation reference"/>
    <w:semiHidden/>
    <w:qFormat/>
    <w:uiPriority w:val="0"/>
    <w:rPr>
      <w:sz w:val="21"/>
      <w:szCs w:val="21"/>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34"/>
    <w:pPr>
      <w:ind w:firstLine="420" w:firstLineChars="200"/>
    </w:pPr>
  </w:style>
  <w:style w:type="character" w:customStyle="1" w:styleId="14">
    <w:name w:val="标题 1 Char"/>
    <w:link w:val="2"/>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1339</Words>
  <Characters>7635</Characters>
  <Lines>63</Lines>
  <Paragraphs>17</Paragraphs>
  <TotalTime>42</TotalTime>
  <ScaleCrop>false</ScaleCrop>
  <LinksUpToDate>false</LinksUpToDate>
  <CharactersWithSpaces>8957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2018-06-01T01:29:00Z</dcterms:created>
  <dc:creator>微软用户</dc:creator>
  <cp:lastModifiedBy>Administrator</cp:lastModifiedBy>
  <cp:lastPrinted>2019-01-23T07:50:05Z</cp:lastPrinted>
  <dcterms:modified xsi:type="dcterms:W3CDTF">2019-01-23T07:50:14Z</dcterms:modified>
  <dc:title>2013年度西藏自治区教育厅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