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宋体"/>
          <w:color w:val="000000"/>
          <w:kern w:val="0"/>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聂荣</w:t>
      </w:r>
      <w:r>
        <w:rPr>
          <w:rFonts w:hint="eastAsia" w:ascii="方正小标宋简体" w:hAnsi="仿宋" w:eastAsia="方正小标宋简体"/>
          <w:sz w:val="44"/>
          <w:szCs w:val="44"/>
        </w:rPr>
        <w:t>县人民法院2024年度</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2024年2月5日</w:t>
      </w: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聂荣</w:t>
      </w:r>
      <w:r>
        <w:rPr>
          <w:rFonts w:hint="eastAsia" w:ascii="方正小标宋简体" w:hAnsi="仿宋" w:eastAsia="方正小标宋简体"/>
          <w:sz w:val="32"/>
          <w:szCs w:val="32"/>
        </w:rPr>
        <w:t>县人民法院概况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eastAsia="zh-CN"/>
        </w:rPr>
        <w:t>聂荣</w:t>
      </w:r>
      <w:r>
        <w:rPr>
          <w:rFonts w:hint="eastAsia" w:ascii="方正小标宋简体" w:hAnsi="仿宋" w:eastAsia="方正小标宋简体"/>
          <w:sz w:val="32"/>
          <w:szCs w:val="32"/>
        </w:rPr>
        <w:t>县人民法院</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聂荣</w:t>
      </w:r>
      <w:r>
        <w:rPr>
          <w:rFonts w:hint="eastAsia" w:ascii="方正小标宋简体" w:hAnsi="仿宋" w:eastAsia="方正小标宋简体"/>
          <w:sz w:val="32"/>
          <w:szCs w:val="32"/>
        </w:rPr>
        <w:t>县人民法院预算明细表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聂荣</w:t>
      </w:r>
      <w:r>
        <w:rPr>
          <w:rFonts w:hint="eastAsia" w:ascii="方正小标宋简体" w:hAnsi="仿宋" w:eastAsia="方正小标宋简体"/>
          <w:sz w:val="32"/>
          <w:szCs w:val="32"/>
        </w:rPr>
        <w:t>县人民法院预算数据分析</w:t>
      </w:r>
    </w:p>
    <w:p>
      <w:pPr>
        <w:rPr>
          <w:rFonts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lang w:eastAsia="zh-CN"/>
        </w:rPr>
        <w:t>聂荣</w:t>
      </w:r>
      <w:r>
        <w:rPr>
          <w:rFonts w:hint="eastAsia" w:ascii="方正小标宋简体" w:hAnsi="仿宋" w:eastAsia="方正小标宋简体"/>
          <w:sz w:val="32"/>
          <w:szCs w:val="32"/>
        </w:rPr>
        <w:t>县人民法院</w:t>
      </w:r>
      <w:r>
        <w:rPr>
          <w:rFonts w:hint="eastAsia" w:ascii="黑体" w:hAnsi="黑体" w:eastAsia="黑体"/>
          <w:sz w:val="32"/>
          <w:szCs w:val="32"/>
        </w:rPr>
        <w:t>收支总体情况</w:t>
      </w:r>
    </w:p>
    <w:p>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eastAsia="zh-CN"/>
        </w:rPr>
        <w:t>聂荣</w:t>
      </w:r>
      <w:r>
        <w:rPr>
          <w:rFonts w:hint="eastAsia" w:ascii="方正小标宋简体" w:hAnsi="仿宋" w:eastAsia="方正小标宋简体"/>
          <w:sz w:val="32"/>
          <w:szCs w:val="32"/>
        </w:rPr>
        <w:t>县人民法院</w:t>
      </w:r>
      <w:r>
        <w:rPr>
          <w:rFonts w:hint="eastAsia" w:ascii="黑体" w:hAnsi="黑体" w:eastAsia="黑体"/>
          <w:sz w:val="32"/>
          <w:szCs w:val="32"/>
        </w:rPr>
        <w:t>收入总体情况</w:t>
      </w:r>
    </w:p>
    <w:p>
      <w:pPr>
        <w:rPr>
          <w:rFonts w:ascii="黑体" w:hAnsi="黑体" w:eastAsia="黑体"/>
          <w:sz w:val="32"/>
          <w:szCs w:val="32"/>
        </w:rPr>
      </w:pPr>
      <w:r>
        <w:rPr>
          <w:rFonts w:hint="eastAsia" w:ascii="黑体" w:hAnsi="黑体" w:eastAsia="黑体"/>
          <w:sz w:val="32"/>
          <w:szCs w:val="32"/>
        </w:rPr>
        <w:t>三、</w:t>
      </w:r>
      <w:r>
        <w:rPr>
          <w:rFonts w:hint="eastAsia" w:ascii="方正小标宋简体" w:hAnsi="仿宋" w:eastAsia="方正小标宋简体"/>
          <w:sz w:val="32"/>
          <w:szCs w:val="32"/>
          <w:lang w:eastAsia="zh-CN"/>
        </w:rPr>
        <w:t>聂荣</w:t>
      </w:r>
      <w:r>
        <w:rPr>
          <w:rFonts w:hint="eastAsia" w:ascii="方正小标宋简体" w:hAnsi="仿宋" w:eastAsia="方正小标宋简体"/>
          <w:sz w:val="32"/>
          <w:szCs w:val="32"/>
        </w:rPr>
        <w:t>县人民法院</w:t>
      </w:r>
      <w:r>
        <w:rPr>
          <w:rFonts w:hint="eastAsia" w:ascii="黑体" w:hAnsi="黑体" w:eastAsia="黑体"/>
          <w:sz w:val="32"/>
          <w:szCs w:val="32"/>
        </w:rPr>
        <w:t>支出总体情况</w:t>
      </w:r>
    </w:p>
    <w:p>
      <w:pPr>
        <w:rPr>
          <w:rFonts w:ascii="黑体" w:hAnsi="黑体" w:eastAsia="黑体"/>
          <w:sz w:val="32"/>
          <w:szCs w:val="32"/>
        </w:rPr>
      </w:pPr>
      <w:r>
        <w:rPr>
          <w:rFonts w:hint="eastAsia" w:ascii="黑体" w:hAnsi="黑体" w:eastAsia="黑体"/>
          <w:sz w:val="32"/>
          <w:szCs w:val="32"/>
        </w:rPr>
        <w:t>四、</w:t>
      </w:r>
      <w:r>
        <w:rPr>
          <w:rFonts w:hint="eastAsia" w:ascii="方正小标宋简体" w:hAnsi="仿宋" w:eastAsia="方正小标宋简体"/>
          <w:sz w:val="32"/>
          <w:szCs w:val="32"/>
          <w:lang w:eastAsia="zh-CN"/>
        </w:rPr>
        <w:t>聂荣</w:t>
      </w:r>
      <w:r>
        <w:rPr>
          <w:rFonts w:hint="eastAsia" w:ascii="方正小标宋简体" w:hAnsi="仿宋" w:eastAsia="方正小标宋简体"/>
          <w:sz w:val="32"/>
          <w:szCs w:val="32"/>
        </w:rPr>
        <w:t>县人民法院</w:t>
      </w:r>
      <w:r>
        <w:rPr>
          <w:rFonts w:hint="eastAsia" w:ascii="黑体" w:hAnsi="黑体" w:eastAsia="黑体"/>
          <w:sz w:val="32"/>
          <w:szCs w:val="32"/>
        </w:rPr>
        <w:t>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bookmarkStart w:id="0" w:name="_GoBack"/>
      <w:bookmarkEnd w:id="0"/>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聂荣</w:t>
      </w:r>
      <w:r>
        <w:rPr>
          <w:rFonts w:hint="eastAsia" w:ascii="方正小标宋简体" w:hAnsi="仿宋" w:eastAsia="方正小标宋简体"/>
          <w:sz w:val="32"/>
          <w:szCs w:val="32"/>
        </w:rPr>
        <w:t>县人民法院概况</w:t>
      </w:r>
    </w:p>
    <w:p>
      <w:pPr>
        <w:rPr>
          <w:rFonts w:ascii="黑体" w:hAnsi="黑体" w:eastAsia="黑体"/>
          <w:sz w:val="32"/>
          <w:szCs w:val="32"/>
        </w:rPr>
      </w:pPr>
      <w:r>
        <w:rPr>
          <w:rFonts w:hint="eastAsia" w:ascii="黑体" w:hAnsi="黑体" w:eastAsia="黑体"/>
          <w:sz w:val="32"/>
          <w:szCs w:val="32"/>
        </w:rPr>
        <w:t>一、主要职能</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人民法院按照法律规定和业务分工设置内部机构，依法审判本院管辖民事、行政案件和上级人民法院交由审判的案件等业务。</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聂荣县人民法院</w:t>
      </w:r>
      <w:r>
        <w:rPr>
          <w:rFonts w:hint="eastAsia" w:ascii="黑体" w:hAnsi="黑体" w:eastAsia="黑体"/>
          <w:sz w:val="32"/>
          <w:szCs w:val="32"/>
        </w:rPr>
        <w:t>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lang w:val="en-US" w:eastAsia="zh-CN"/>
        </w:rPr>
        <w:t>我院隶属行政机构，单位编制人数18人，其中在职14人，退休人数5人，在职人数中：副县级1人，正科1人，副科级9人，科员3人</w:t>
      </w:r>
      <w:r>
        <w:rPr>
          <w:rFonts w:hint="eastAsia" w:ascii="仿宋" w:hAnsi="仿宋" w:eastAsia="仿宋"/>
          <w:sz w:val="32"/>
          <w:szCs w:val="32"/>
        </w:rPr>
        <w:t>部门内设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lang w:val="en-US" w:eastAsia="zh-CN"/>
        </w:rPr>
        <w:t>分别为立案庭、综合审判庭、执行局、政治部（综合办公室）</w:t>
      </w:r>
      <w:r>
        <w:rPr>
          <w:rFonts w:hint="eastAsia" w:ascii="仿宋" w:hAnsi="仿宋" w:eastAsia="仿宋"/>
          <w:sz w:val="32"/>
          <w:szCs w:val="32"/>
        </w:rPr>
        <w:t>。</w:t>
      </w:r>
    </w:p>
    <w:p>
      <w:pPr>
        <w:numPr>
          <w:ilvl w:val="0"/>
          <w:numId w:val="1"/>
        </w:numPr>
        <w:ind w:left="640" w:leftChars="0" w:firstLine="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立案庭负责登记立案、涉诉信访、导诉接待、材</w:t>
      </w:r>
    </w:p>
    <w:p>
      <w:pPr>
        <w:numPr>
          <w:ilvl w:val="0"/>
          <w:numId w:val="0"/>
        </w:numPr>
        <w:rPr>
          <w:rFonts w:hint="eastAsia" w:ascii="仿宋" w:hAnsi="仿宋" w:eastAsia="仿宋"/>
          <w:sz w:val="32"/>
          <w:szCs w:val="32"/>
          <w:lang w:val="en-US" w:eastAsia="zh-CN"/>
        </w:rPr>
      </w:pPr>
      <w:r>
        <w:rPr>
          <w:rFonts w:hint="eastAsia" w:ascii="仿宋" w:hAnsi="仿宋" w:eastAsia="仿宋"/>
          <w:sz w:val="32"/>
          <w:szCs w:val="32"/>
          <w:lang w:val="en-US" w:eastAsia="zh-CN"/>
        </w:rPr>
        <w:t>料转接、法律咨询、诉前保全、诉前引调。办理司法确认、司法救助、司法技术鉴定。办理适用特别程序、督促程序、公示催告程序的案件。</w:t>
      </w:r>
    </w:p>
    <w:p>
      <w:pPr>
        <w:numPr>
          <w:ilvl w:val="0"/>
          <w:numId w:val="1"/>
        </w:numPr>
        <w:ind w:left="640" w:leftChars="0" w:firstLine="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综合审判庭</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负责审理本院管辖的第一审刑事、民商事、行政案件，审查行政机关沈昂执行其行政行为的案件适用审判监督程序的案件。</w:t>
      </w:r>
    </w:p>
    <w:p>
      <w:pPr>
        <w:numPr>
          <w:ilvl w:val="0"/>
          <w:numId w:val="1"/>
        </w:numPr>
        <w:ind w:left="640" w:leftChars="0" w:firstLine="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执行局</w:t>
      </w:r>
    </w:p>
    <w:p>
      <w:pPr>
        <w:numPr>
          <w:ilvl w:val="0"/>
          <w:numId w:val="0"/>
        </w:numPr>
        <w:rPr>
          <w:rFonts w:hint="eastAsia" w:ascii="仿宋" w:hAnsi="仿宋" w:eastAsia="仿宋"/>
          <w:sz w:val="32"/>
          <w:szCs w:val="32"/>
          <w:lang w:val="en-US" w:eastAsia="zh-CN"/>
        </w:rPr>
      </w:pPr>
      <w:r>
        <w:rPr>
          <w:rFonts w:hint="eastAsia" w:ascii="仿宋" w:hAnsi="仿宋" w:eastAsia="仿宋"/>
          <w:sz w:val="32"/>
          <w:szCs w:val="32"/>
          <w:lang w:val="en-US" w:eastAsia="zh-CN"/>
        </w:rPr>
        <w:t>负责本院受理、受托和上级法院交办执行案件的实施工作。负责办理其他有关执行工作事项和综合性管理工作。负责本院司法警察警务工作，承担院机关安保和涉诉信访应急处置。</w:t>
      </w:r>
    </w:p>
    <w:p>
      <w:pPr>
        <w:numPr>
          <w:ilvl w:val="0"/>
          <w:numId w:val="1"/>
        </w:numPr>
        <w:ind w:left="640" w:leftChars="0" w:firstLine="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政治部</w:t>
      </w:r>
    </w:p>
    <w:p>
      <w:pPr>
        <w:numPr>
          <w:ilvl w:val="0"/>
          <w:numId w:val="0"/>
        </w:numPr>
        <w:ind w:firstLine="640" w:firstLineChars="200"/>
        <w:rPr>
          <w:rFonts w:ascii="方正小标宋简体" w:hAnsi="仿宋" w:eastAsia="方正小标宋简体"/>
          <w:sz w:val="32"/>
          <w:szCs w:val="32"/>
        </w:rPr>
      </w:pPr>
      <w:r>
        <w:rPr>
          <w:rFonts w:hint="eastAsia" w:ascii="仿宋" w:hAnsi="仿宋" w:eastAsia="仿宋"/>
          <w:sz w:val="32"/>
          <w:szCs w:val="32"/>
          <w:lang w:val="en-US" w:eastAsia="zh-CN"/>
        </w:rPr>
        <w:t>负责本院党的建设、队伍建设、思想政治和意识形态工作。承担本院党组纪检、组织人事、法官管理、工资福利和离退休干部等工作。负责本院法官遴选、法官助理和聘用制书记员统一招录等工作。负责新闻宣传、文化建设、典型选树、表彰奖励等工作。负责综合行政、对外联络、财务装备管理和后勤保障等司法政务工作。负责审判管理、审判研究等工作。</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聂荣</w:t>
      </w:r>
      <w:r>
        <w:rPr>
          <w:rFonts w:hint="eastAsia" w:ascii="方正小标宋简体" w:hAnsi="仿宋" w:eastAsia="方正小标宋简体"/>
          <w:sz w:val="32"/>
          <w:szCs w:val="32"/>
        </w:rPr>
        <w:t>县人民法院2024年度预算明细表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3520" w:firstLineChars="1100"/>
        <w:jc w:val="both"/>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聂荣</w:t>
      </w:r>
      <w:r>
        <w:rPr>
          <w:rFonts w:hint="eastAsia" w:ascii="方正小标宋简体" w:hAnsi="仿宋" w:eastAsia="方正小标宋简体"/>
          <w:sz w:val="32"/>
          <w:szCs w:val="32"/>
        </w:rPr>
        <w:t>县人民法院2024年度部门（单位）预算数据分析</w:t>
      </w:r>
    </w:p>
    <w:p>
      <w:pPr>
        <w:ind w:firstLine="640" w:firstLineChars="200"/>
        <w:rPr>
          <w:rFonts w:ascii="黑体" w:hAnsi="黑体" w:eastAsia="黑体"/>
          <w:sz w:val="32"/>
          <w:szCs w:val="32"/>
        </w:rPr>
      </w:pPr>
      <w:r>
        <w:rPr>
          <w:rFonts w:hint="eastAsia" w:ascii="黑体" w:hAnsi="黑体" w:eastAsia="黑体"/>
          <w:sz w:val="32"/>
          <w:szCs w:val="32"/>
        </w:rPr>
        <w:t>一、部门收支总体情况</w:t>
      </w:r>
    </w:p>
    <w:p>
      <w:pPr>
        <w:spacing w:line="576" w:lineRule="exact"/>
        <w:ind w:firstLine="640" w:firstLineChars="200"/>
        <w:rPr>
          <w:rFonts w:ascii="仿宋" w:hAnsi="仿宋" w:eastAsia="仿宋"/>
          <w:b/>
          <w:bCs/>
          <w:sz w:val="32"/>
          <w:szCs w:val="32"/>
        </w:rPr>
      </w:pPr>
      <w:r>
        <w:rPr>
          <w:rFonts w:hint="eastAsia" w:ascii="仿宋" w:hAnsi="仿宋" w:eastAsia="仿宋"/>
          <w:sz w:val="32"/>
          <w:szCs w:val="32"/>
        </w:rPr>
        <w:t>2024年收支总预算</w:t>
      </w:r>
      <w:r>
        <w:rPr>
          <w:rFonts w:hint="eastAsia" w:ascii="仿宋" w:hAnsi="仿宋" w:eastAsia="仿宋"/>
          <w:sz w:val="32"/>
          <w:szCs w:val="32"/>
          <w:u w:val="single"/>
          <w:lang w:val="en-US" w:eastAsia="zh-CN"/>
        </w:rPr>
        <w:t>1043.43</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1021.72</w:t>
      </w:r>
      <w:r>
        <w:rPr>
          <w:rFonts w:hint="eastAsia" w:ascii="仿宋" w:hAnsi="仿宋" w:eastAsia="仿宋"/>
          <w:sz w:val="32"/>
          <w:szCs w:val="32"/>
        </w:rPr>
        <w:t>万元、上年结转</w:t>
      </w:r>
      <w:r>
        <w:rPr>
          <w:rFonts w:hint="eastAsia" w:ascii="仿宋" w:hAnsi="仿宋" w:eastAsia="仿宋"/>
          <w:sz w:val="32"/>
          <w:szCs w:val="32"/>
          <w:u w:val="single"/>
          <w:lang w:val="en-US" w:eastAsia="zh-CN"/>
        </w:rPr>
        <w:t>21.71</w:t>
      </w:r>
      <w:r>
        <w:rPr>
          <w:rFonts w:hint="eastAsia" w:ascii="仿宋" w:hAnsi="仿宋" w:eastAsia="仿宋"/>
          <w:sz w:val="32"/>
          <w:szCs w:val="32"/>
        </w:rPr>
        <w:t>万元；支出包括：公共安全支出</w:t>
      </w:r>
      <w:r>
        <w:rPr>
          <w:rFonts w:hint="eastAsia" w:ascii="仿宋" w:hAnsi="仿宋" w:eastAsia="仿宋"/>
          <w:sz w:val="32"/>
          <w:szCs w:val="32"/>
          <w:u w:val="single"/>
          <w:lang w:val="en-US" w:eastAsia="zh-CN"/>
        </w:rPr>
        <w:t>859.50</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93.15</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42.50</w:t>
      </w:r>
      <w:r>
        <w:rPr>
          <w:rFonts w:hint="eastAsia" w:ascii="仿宋" w:hAnsi="仿宋" w:eastAsia="仿宋"/>
          <w:sz w:val="32"/>
          <w:szCs w:val="32"/>
        </w:rPr>
        <w:t>万元、住房保障支出</w:t>
      </w:r>
      <w:r>
        <w:rPr>
          <w:rFonts w:hint="eastAsia" w:ascii="仿宋" w:hAnsi="仿宋" w:eastAsia="仿宋"/>
          <w:sz w:val="32"/>
          <w:szCs w:val="32"/>
          <w:lang w:val="en-US" w:eastAsia="zh-CN"/>
        </w:rPr>
        <w:t>48.29</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二、部门收入总体情况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lang w:val="en-US" w:eastAsia="zh-CN"/>
        </w:rPr>
        <w:t>1043.43</w:t>
      </w:r>
      <w:r>
        <w:rPr>
          <w:rFonts w:hint="eastAsia" w:ascii="仿宋" w:hAnsi="仿宋" w:eastAsia="仿宋"/>
          <w:sz w:val="32"/>
          <w:szCs w:val="32"/>
        </w:rPr>
        <w:t>万元，同比</w:t>
      </w:r>
      <w:r>
        <w:rPr>
          <w:rFonts w:hint="eastAsia" w:ascii="仿宋" w:hAnsi="仿宋" w:eastAsia="仿宋"/>
          <w:sz w:val="32"/>
          <w:szCs w:val="32"/>
          <w:lang w:val="en-US" w:eastAsia="zh-CN"/>
        </w:rPr>
        <w:t xml:space="preserve">增加123.89 </w:t>
      </w:r>
      <w:r>
        <w:rPr>
          <w:rFonts w:hint="eastAsia" w:ascii="仿宋" w:hAnsi="仿宋" w:eastAsia="仿宋"/>
          <w:sz w:val="32"/>
          <w:szCs w:val="32"/>
        </w:rPr>
        <w:t>万元，主要原因是基本支出</w:t>
      </w:r>
      <w:r>
        <w:rPr>
          <w:rFonts w:hint="eastAsia" w:ascii="仿宋" w:hAnsi="仿宋" w:eastAsia="仿宋"/>
          <w:sz w:val="32"/>
          <w:szCs w:val="32"/>
          <w:lang w:val="en-US" w:eastAsia="zh-CN"/>
        </w:rPr>
        <w:t>增加138.05</w:t>
      </w:r>
      <w:r>
        <w:rPr>
          <w:rFonts w:hint="eastAsia" w:ascii="仿宋" w:hAnsi="仿宋" w:eastAsia="仿宋"/>
          <w:sz w:val="32"/>
          <w:szCs w:val="32"/>
        </w:rPr>
        <w:t>万元，项目支出</w:t>
      </w:r>
      <w:r>
        <w:rPr>
          <w:rFonts w:hint="eastAsia" w:ascii="仿宋" w:hAnsi="仿宋" w:eastAsia="仿宋"/>
          <w:sz w:val="32"/>
          <w:szCs w:val="32"/>
          <w:lang w:val="en-US" w:eastAsia="zh-CN"/>
        </w:rPr>
        <w:t xml:space="preserve">减少14.16   </w:t>
      </w:r>
      <w:r>
        <w:rPr>
          <w:rFonts w:hint="eastAsia" w:ascii="仿宋" w:hAnsi="仿宋" w:eastAsia="仿宋"/>
          <w:sz w:val="32"/>
          <w:szCs w:val="32"/>
        </w:rPr>
        <w:t>万元。2024年一般公共预算拨款收入</w:t>
      </w:r>
      <w:r>
        <w:rPr>
          <w:rFonts w:hint="eastAsia" w:ascii="仿宋" w:hAnsi="仿宋" w:eastAsia="仿宋"/>
          <w:sz w:val="32"/>
          <w:szCs w:val="32"/>
          <w:lang w:val="en-US" w:eastAsia="zh-CN"/>
        </w:rPr>
        <w:t>1021.72</w:t>
      </w:r>
      <w:r>
        <w:rPr>
          <w:rFonts w:hint="eastAsia" w:ascii="仿宋" w:hAnsi="仿宋" w:eastAsia="仿宋"/>
          <w:sz w:val="32"/>
          <w:szCs w:val="32"/>
        </w:rPr>
        <w:t>万元，占95.5%；2</w:t>
      </w:r>
      <w:r>
        <w:rPr>
          <w:rFonts w:ascii="仿宋" w:hAnsi="仿宋" w:eastAsia="仿宋"/>
          <w:sz w:val="32"/>
          <w:szCs w:val="32"/>
        </w:rPr>
        <w:t>024</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拨款收入0万元，占0 %；2</w:t>
      </w:r>
      <w:r>
        <w:rPr>
          <w:rFonts w:ascii="仿宋" w:hAnsi="仿宋" w:eastAsia="仿宋"/>
          <w:sz w:val="32"/>
          <w:szCs w:val="32"/>
        </w:rPr>
        <w:t>024</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拨款收入0万元，占0 %。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例如：，同比</w:t>
      </w:r>
      <w:r>
        <w:rPr>
          <w:rFonts w:hint="eastAsia" w:ascii="仿宋" w:hAnsi="仿宋" w:eastAsia="仿宋"/>
          <w:sz w:val="32"/>
          <w:szCs w:val="32"/>
          <w:lang w:val="en-US" w:eastAsia="zh-CN"/>
        </w:rPr>
        <w:t xml:space="preserve">增加123.89 </w:t>
      </w:r>
      <w:r>
        <w:rPr>
          <w:rFonts w:hint="eastAsia" w:ascii="仿宋" w:hAnsi="仿宋" w:eastAsia="仿宋"/>
          <w:sz w:val="32"/>
          <w:szCs w:val="32"/>
        </w:rPr>
        <w:t>万元，主要原因是基本支出</w:t>
      </w:r>
      <w:r>
        <w:rPr>
          <w:rFonts w:hint="eastAsia" w:ascii="仿宋" w:hAnsi="仿宋" w:eastAsia="仿宋"/>
          <w:sz w:val="32"/>
          <w:szCs w:val="32"/>
          <w:lang w:val="en-US" w:eastAsia="zh-CN"/>
        </w:rPr>
        <w:t>增加138.05</w:t>
      </w:r>
      <w:r>
        <w:rPr>
          <w:rFonts w:hint="eastAsia" w:ascii="仿宋" w:hAnsi="仿宋" w:eastAsia="仿宋"/>
          <w:sz w:val="32"/>
          <w:szCs w:val="32"/>
        </w:rPr>
        <w:t>万元，项目支出</w:t>
      </w:r>
      <w:r>
        <w:rPr>
          <w:rFonts w:hint="eastAsia" w:ascii="仿宋" w:hAnsi="仿宋" w:eastAsia="仿宋"/>
          <w:sz w:val="32"/>
          <w:szCs w:val="32"/>
          <w:lang w:val="en-US" w:eastAsia="zh-CN"/>
        </w:rPr>
        <w:t xml:space="preserve">减少14.16 </w:t>
      </w:r>
      <w:r>
        <w:rPr>
          <w:rFonts w:hint="eastAsia" w:ascii="仿宋" w:hAnsi="仿宋" w:eastAsia="仿宋"/>
          <w:sz w:val="32"/>
          <w:szCs w:val="32"/>
        </w:rPr>
        <w:t>万元。其中：基本支出</w:t>
      </w:r>
      <w:r>
        <w:rPr>
          <w:rFonts w:hint="eastAsia" w:ascii="仿宋" w:hAnsi="仿宋" w:eastAsia="仿宋"/>
          <w:sz w:val="32"/>
          <w:szCs w:val="32"/>
          <w:lang w:val="en-US" w:eastAsia="zh-CN"/>
        </w:rPr>
        <w:t>753.61</w:t>
      </w:r>
      <w:r>
        <w:rPr>
          <w:rFonts w:hint="eastAsia" w:ascii="仿宋" w:hAnsi="仿宋" w:eastAsia="仿宋"/>
          <w:sz w:val="32"/>
          <w:szCs w:val="32"/>
        </w:rPr>
        <w:t>万元，占74.91%；项目支出</w:t>
      </w:r>
      <w:r>
        <w:rPr>
          <w:rFonts w:hint="eastAsia" w:ascii="仿宋" w:hAnsi="仿宋" w:eastAsia="仿宋"/>
          <w:sz w:val="32"/>
          <w:szCs w:val="32"/>
          <w:lang w:val="en-US" w:eastAsia="zh-CN"/>
        </w:rPr>
        <w:t>289.82</w:t>
      </w:r>
      <w:r>
        <w:rPr>
          <w:rFonts w:hint="eastAsia" w:ascii="仿宋" w:hAnsi="仿宋" w:eastAsia="仿宋"/>
          <w:sz w:val="32"/>
          <w:szCs w:val="32"/>
        </w:rPr>
        <w:t>万元，占25.08%。</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lang w:val="en-US" w:eastAsia="zh-CN"/>
        </w:rPr>
        <w:t>1021.72</w:t>
      </w:r>
      <w:r>
        <w:rPr>
          <w:rFonts w:hint="eastAsia" w:ascii="仿宋" w:hAnsi="仿宋" w:eastAsia="仿宋"/>
          <w:sz w:val="32"/>
          <w:szCs w:val="32"/>
        </w:rPr>
        <w:t>万元，同比增加</w:t>
      </w:r>
      <w:r>
        <w:rPr>
          <w:rFonts w:hint="eastAsia" w:ascii="仿宋" w:hAnsi="仿宋" w:eastAsia="仿宋"/>
          <w:sz w:val="32"/>
          <w:szCs w:val="32"/>
          <w:lang w:val="en-US" w:eastAsia="zh-CN"/>
        </w:rPr>
        <w:t>102.18</w:t>
      </w:r>
      <w:r>
        <w:rPr>
          <w:rFonts w:hint="eastAsia" w:ascii="仿宋" w:hAnsi="仿宋" w:eastAsia="仿宋"/>
          <w:sz w:val="32"/>
          <w:szCs w:val="32"/>
        </w:rPr>
        <w:t>万元，主要原因是基本支出</w:t>
      </w:r>
      <w:r>
        <w:rPr>
          <w:rFonts w:hint="eastAsia" w:ascii="仿宋" w:hAnsi="仿宋" w:eastAsia="仿宋"/>
          <w:sz w:val="32"/>
          <w:szCs w:val="32"/>
          <w:lang w:val="en-US" w:eastAsia="zh-CN"/>
        </w:rPr>
        <w:t>增加138.05</w:t>
      </w:r>
      <w:r>
        <w:rPr>
          <w:rFonts w:hint="eastAsia" w:ascii="仿宋" w:hAnsi="仿宋" w:eastAsia="仿宋"/>
          <w:sz w:val="32"/>
          <w:szCs w:val="32"/>
        </w:rPr>
        <w:t>万元，项目支出</w:t>
      </w:r>
      <w:r>
        <w:rPr>
          <w:rFonts w:hint="eastAsia" w:ascii="仿宋" w:hAnsi="仿宋" w:eastAsia="仿宋"/>
          <w:sz w:val="32"/>
          <w:szCs w:val="32"/>
          <w:lang w:val="en-US" w:eastAsia="zh-CN"/>
        </w:rPr>
        <w:t xml:space="preserve">减少14.16 </w:t>
      </w:r>
      <w:r>
        <w:rPr>
          <w:rFonts w:hint="eastAsia" w:ascii="仿宋" w:hAnsi="仿宋" w:eastAsia="仿宋"/>
          <w:sz w:val="32"/>
          <w:szCs w:val="32"/>
        </w:rPr>
        <w:t>万元。收入包括：一般公共预算当年拨款收入</w:t>
      </w:r>
      <w:r>
        <w:rPr>
          <w:rFonts w:hint="eastAsia" w:ascii="仿宋" w:hAnsi="仿宋" w:eastAsia="仿宋"/>
          <w:sz w:val="32"/>
          <w:szCs w:val="32"/>
          <w:lang w:val="en-US" w:eastAsia="zh-CN"/>
        </w:rPr>
        <w:t>1021.72</w:t>
      </w:r>
      <w:r>
        <w:rPr>
          <w:rFonts w:hint="eastAsia" w:ascii="仿宋" w:hAnsi="仿宋" w:eastAsia="仿宋"/>
          <w:sz w:val="32"/>
          <w:szCs w:val="32"/>
        </w:rPr>
        <w:t>万元、上年结转</w:t>
      </w:r>
      <w:r>
        <w:rPr>
          <w:rFonts w:hint="eastAsia" w:ascii="仿宋" w:hAnsi="仿宋" w:eastAsia="仿宋"/>
          <w:sz w:val="32"/>
          <w:szCs w:val="32"/>
          <w:lang w:val="en-US" w:eastAsia="zh-CN"/>
        </w:rPr>
        <w:t>21.71</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0</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93.15</w:t>
      </w:r>
      <w:r>
        <w:rPr>
          <w:rFonts w:hint="eastAsia" w:ascii="仿宋" w:hAnsi="仿宋" w:eastAsia="仿宋"/>
          <w:sz w:val="32"/>
          <w:szCs w:val="32"/>
        </w:rPr>
        <w:t>万元、卫生健康支出</w:t>
      </w:r>
      <w:r>
        <w:rPr>
          <w:rFonts w:hint="eastAsia" w:ascii="仿宋" w:hAnsi="仿宋" w:eastAsia="仿宋"/>
          <w:sz w:val="32"/>
          <w:szCs w:val="32"/>
          <w:lang w:val="en-US" w:eastAsia="zh-CN"/>
        </w:rPr>
        <w:t>42.50</w:t>
      </w:r>
      <w:r>
        <w:rPr>
          <w:rFonts w:hint="eastAsia" w:ascii="仿宋" w:hAnsi="仿宋" w:eastAsia="仿宋"/>
          <w:sz w:val="32"/>
          <w:szCs w:val="32"/>
        </w:rPr>
        <w:t>万元、住房保障支出</w:t>
      </w:r>
      <w:r>
        <w:rPr>
          <w:rFonts w:hint="eastAsia" w:ascii="仿宋" w:hAnsi="仿宋" w:eastAsia="仿宋"/>
          <w:sz w:val="32"/>
          <w:szCs w:val="32"/>
          <w:lang w:val="en-US" w:eastAsia="zh-CN"/>
        </w:rPr>
        <w:t>48.29</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lang w:val="en-US" w:eastAsia="zh-CN"/>
        </w:rPr>
        <w:t>1021.72</w:t>
      </w:r>
      <w:r>
        <w:rPr>
          <w:rFonts w:hint="eastAsia" w:ascii="仿宋" w:hAnsi="仿宋" w:eastAsia="仿宋"/>
          <w:sz w:val="32"/>
          <w:szCs w:val="32"/>
        </w:rPr>
        <w:t>万元,比2023 年执行数</w:t>
      </w:r>
      <w:r>
        <w:rPr>
          <w:rFonts w:hint="eastAsia" w:ascii="仿宋" w:hAnsi="仿宋" w:eastAsia="仿宋"/>
          <w:sz w:val="32"/>
          <w:szCs w:val="32"/>
          <w:lang w:val="en-US" w:eastAsia="zh-CN"/>
        </w:rPr>
        <w:t>增加138.05</w:t>
      </w:r>
      <w:r>
        <w:rPr>
          <w:rFonts w:hint="eastAsia" w:ascii="仿宋" w:hAnsi="仿宋" w:eastAsia="仿宋"/>
          <w:sz w:val="32"/>
          <w:szCs w:val="32"/>
        </w:rPr>
        <w:t>万元，主要原因：我院人员</w:t>
      </w:r>
      <w:r>
        <w:rPr>
          <w:rFonts w:hint="eastAsia" w:ascii="仿宋" w:hAnsi="仿宋" w:eastAsia="仿宋"/>
          <w:sz w:val="32"/>
          <w:szCs w:val="32"/>
          <w:lang w:val="en-US" w:eastAsia="zh-CN"/>
        </w:rPr>
        <w:t>增加</w:t>
      </w:r>
      <w:r>
        <w:rPr>
          <w:rFonts w:hint="eastAsia" w:ascii="仿宋" w:hAnsi="仿宋" w:eastAsia="仿宋"/>
          <w:sz w:val="32"/>
          <w:szCs w:val="32"/>
        </w:rPr>
        <w:t>、项目经费</w:t>
      </w:r>
      <w:r>
        <w:rPr>
          <w:rFonts w:hint="eastAsia" w:ascii="仿宋" w:hAnsi="仿宋" w:eastAsia="仿宋"/>
          <w:sz w:val="32"/>
          <w:szCs w:val="32"/>
          <w:lang w:val="en-US" w:eastAsia="zh-CN"/>
        </w:rPr>
        <w:t>增加</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例如：：一般公共预算拨款</w:t>
      </w:r>
      <w:r>
        <w:rPr>
          <w:rFonts w:hint="eastAsia" w:ascii="仿宋" w:hAnsi="仿宋" w:eastAsia="仿宋"/>
          <w:sz w:val="32"/>
          <w:szCs w:val="32"/>
          <w:lang w:val="en-US" w:eastAsia="zh-CN"/>
        </w:rPr>
        <w:t>1021.72</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%；社会保障和就业支出</w:t>
      </w:r>
      <w:r>
        <w:rPr>
          <w:rFonts w:hint="eastAsia" w:ascii="仿宋" w:hAnsi="仿宋" w:eastAsia="仿宋"/>
          <w:sz w:val="32"/>
          <w:szCs w:val="32"/>
          <w:lang w:val="en-US" w:eastAsia="zh-CN"/>
        </w:rPr>
        <w:t>93.15</w:t>
      </w:r>
      <w:r>
        <w:rPr>
          <w:rFonts w:hint="eastAsia" w:ascii="仿宋" w:hAnsi="仿宋" w:eastAsia="仿宋"/>
          <w:sz w:val="32"/>
          <w:szCs w:val="32"/>
        </w:rPr>
        <w:t>万元，占7.4%；卫生健康支出</w:t>
      </w:r>
      <w:r>
        <w:rPr>
          <w:rFonts w:hint="eastAsia" w:ascii="仿宋" w:hAnsi="仿宋" w:eastAsia="仿宋"/>
          <w:sz w:val="32"/>
          <w:szCs w:val="32"/>
          <w:lang w:val="en-US" w:eastAsia="zh-CN"/>
        </w:rPr>
        <w:t>42.50</w:t>
      </w:r>
      <w:r>
        <w:rPr>
          <w:rFonts w:hint="eastAsia" w:ascii="仿宋" w:hAnsi="仿宋" w:eastAsia="仿宋"/>
          <w:sz w:val="32"/>
          <w:szCs w:val="32"/>
        </w:rPr>
        <w:t>万元，占4.51%；住房保障支出</w:t>
      </w:r>
      <w:r>
        <w:rPr>
          <w:rFonts w:hint="eastAsia" w:ascii="仿宋" w:hAnsi="仿宋" w:eastAsia="仿宋"/>
          <w:sz w:val="32"/>
          <w:szCs w:val="32"/>
          <w:lang w:val="en-US" w:eastAsia="zh-CN"/>
        </w:rPr>
        <w:t>48.29</w:t>
      </w:r>
      <w:r>
        <w:rPr>
          <w:rFonts w:hint="eastAsia" w:ascii="仿宋" w:hAnsi="仿宋" w:eastAsia="仿宋"/>
          <w:sz w:val="32"/>
          <w:szCs w:val="32"/>
        </w:rPr>
        <w:t>万元，占5.44%</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1.公共安全支出（类）法院（款）行政运行（项）预算数为</w:t>
      </w:r>
      <w:r>
        <w:rPr>
          <w:rFonts w:hint="eastAsia" w:ascii="仿宋" w:hAnsi="仿宋" w:eastAsia="仿宋"/>
          <w:sz w:val="32"/>
          <w:szCs w:val="32"/>
          <w:lang w:val="en-US" w:eastAsia="zh-CN"/>
        </w:rPr>
        <w:t>859.50</w:t>
      </w:r>
      <w:r>
        <w:rPr>
          <w:rFonts w:hint="eastAsia" w:ascii="仿宋" w:hAnsi="仿宋" w:eastAsia="仿宋"/>
          <w:sz w:val="32"/>
          <w:szCs w:val="32"/>
        </w:rPr>
        <w:t>万元，比2023年执行数增加</w:t>
      </w:r>
      <w:r>
        <w:rPr>
          <w:rFonts w:hint="eastAsia" w:ascii="仿宋" w:hAnsi="仿宋" w:eastAsia="仿宋"/>
          <w:sz w:val="32"/>
          <w:szCs w:val="32"/>
          <w:lang w:val="en-US" w:eastAsia="zh-CN"/>
        </w:rPr>
        <w:t xml:space="preserve">   </w:t>
      </w:r>
      <w:r>
        <w:rPr>
          <w:rFonts w:hint="eastAsia" w:ascii="仿宋" w:hAnsi="仿宋" w:eastAsia="仿宋"/>
          <w:sz w:val="32"/>
          <w:szCs w:val="32"/>
        </w:rPr>
        <w:t>万元，增加4%。主要原因是人员工资变动。</w:t>
      </w:r>
    </w:p>
    <w:p>
      <w:pPr>
        <w:ind w:firstLine="640" w:firstLineChars="200"/>
        <w:rPr>
          <w:rFonts w:ascii="仿宋" w:hAnsi="仿宋" w:eastAsia="仿宋"/>
          <w:sz w:val="32"/>
          <w:szCs w:val="32"/>
        </w:rPr>
      </w:pPr>
      <w:r>
        <w:rPr>
          <w:rFonts w:hint="eastAsia" w:ascii="仿宋" w:hAnsi="仿宋" w:eastAsia="仿宋"/>
          <w:sz w:val="32"/>
          <w:szCs w:val="32"/>
        </w:rPr>
        <w:t>2.公共安全支出（类）法院（款）其他法院支出（项）预算数为</w:t>
      </w:r>
      <w:r>
        <w:rPr>
          <w:rFonts w:hint="eastAsia" w:ascii="仿宋" w:hAnsi="仿宋" w:eastAsia="仿宋"/>
          <w:sz w:val="32"/>
          <w:szCs w:val="32"/>
          <w:lang w:val="en-US" w:eastAsia="zh-CN"/>
        </w:rPr>
        <w:t>859.50</w:t>
      </w:r>
      <w:r>
        <w:rPr>
          <w:rFonts w:hint="eastAsia" w:ascii="仿宋" w:hAnsi="仿宋" w:eastAsia="仿宋"/>
          <w:sz w:val="32"/>
          <w:szCs w:val="32"/>
        </w:rPr>
        <w:t>万元，比2023 年执行数增加万元。主要原因是2024年度各类支出增加。</w:t>
      </w:r>
    </w:p>
    <w:p>
      <w:pPr>
        <w:ind w:firstLine="640" w:firstLineChars="200"/>
        <w:rPr>
          <w:rFonts w:ascii="仿宋" w:hAnsi="仿宋" w:eastAsia="仿宋"/>
          <w:sz w:val="32"/>
          <w:szCs w:val="32"/>
        </w:rPr>
      </w:pPr>
      <w:r>
        <w:rPr>
          <w:rFonts w:hint="eastAsia" w:ascii="仿宋" w:hAnsi="仿宋" w:eastAsia="仿宋"/>
          <w:sz w:val="32"/>
          <w:szCs w:val="32"/>
        </w:rPr>
        <w:t>3.社会保障和就业支出（类）行政事业单位养老支出（款）机关事业单位基本养老保险缴费支出（项）预算数为</w:t>
      </w:r>
      <w:r>
        <w:rPr>
          <w:rFonts w:hint="eastAsia" w:ascii="仿宋" w:hAnsi="仿宋" w:eastAsia="仿宋"/>
          <w:sz w:val="32"/>
          <w:szCs w:val="32"/>
          <w:lang w:val="en-US" w:eastAsia="zh-CN"/>
        </w:rPr>
        <w:t>93.15</w:t>
      </w:r>
      <w:r>
        <w:rPr>
          <w:rFonts w:hint="eastAsia" w:ascii="仿宋" w:hAnsi="仿宋" w:eastAsia="仿宋"/>
          <w:sz w:val="32"/>
          <w:szCs w:val="32"/>
        </w:rPr>
        <w:t>万元，比2023年执行数增加11.21。主要原因是人员工资增长。</w:t>
      </w:r>
    </w:p>
    <w:p>
      <w:pPr>
        <w:ind w:firstLine="640" w:firstLineChars="200"/>
        <w:rPr>
          <w:rFonts w:ascii="仿宋" w:hAnsi="仿宋" w:eastAsia="仿宋"/>
          <w:sz w:val="32"/>
          <w:szCs w:val="32"/>
        </w:rPr>
      </w:pPr>
      <w:r>
        <w:rPr>
          <w:rFonts w:hint="eastAsia" w:ascii="仿宋" w:hAnsi="仿宋" w:eastAsia="仿宋"/>
          <w:sz w:val="32"/>
          <w:szCs w:val="32"/>
        </w:rPr>
        <w:t>4. 社会保障和就业支出（类）行政事业单位养老支出（款）其他社会保障和就业支出（项）预算数为</w:t>
      </w:r>
      <w:r>
        <w:rPr>
          <w:rFonts w:hint="eastAsia" w:ascii="仿宋" w:hAnsi="仿宋" w:eastAsia="仿宋"/>
          <w:sz w:val="32"/>
          <w:szCs w:val="32"/>
          <w:lang w:val="en-US" w:eastAsia="zh-CN"/>
        </w:rPr>
        <w:t>93.15</w:t>
      </w:r>
      <w:r>
        <w:rPr>
          <w:rFonts w:hint="eastAsia" w:ascii="仿宋" w:hAnsi="仿宋" w:eastAsia="仿宋"/>
          <w:sz w:val="32"/>
          <w:szCs w:val="32"/>
        </w:rPr>
        <w:t>万元，比2023年执行数增加0.11万元，增加15.27%。主要原因是人员工资增长。</w:t>
      </w:r>
    </w:p>
    <w:p>
      <w:pPr>
        <w:ind w:firstLine="640" w:firstLineChars="200"/>
        <w:rPr>
          <w:rFonts w:ascii="仿宋" w:hAnsi="仿宋" w:eastAsia="仿宋"/>
          <w:sz w:val="32"/>
          <w:szCs w:val="32"/>
        </w:rPr>
      </w:pPr>
      <w:r>
        <w:rPr>
          <w:rFonts w:hint="eastAsia" w:ascii="仿宋" w:hAnsi="仿宋" w:eastAsia="仿宋"/>
          <w:sz w:val="32"/>
          <w:szCs w:val="32"/>
        </w:rPr>
        <w:t>5. 卫生健康支出（类）行政事业单位医疗（款）职工基本医疗保险缴费（项）预算数为71.67万元，比2023年执行数增加70.65万元。主要原因是人员工资增长。</w:t>
      </w:r>
    </w:p>
    <w:p>
      <w:pPr>
        <w:ind w:firstLine="640" w:firstLineChars="200"/>
        <w:rPr>
          <w:rFonts w:ascii="仿宋" w:hAnsi="仿宋" w:eastAsia="仿宋"/>
          <w:sz w:val="32"/>
          <w:szCs w:val="32"/>
        </w:rPr>
      </w:pPr>
      <w:r>
        <w:rPr>
          <w:rFonts w:hint="eastAsia" w:ascii="仿宋" w:hAnsi="仿宋" w:eastAsia="仿宋"/>
          <w:sz w:val="32"/>
          <w:szCs w:val="32"/>
        </w:rPr>
        <w:t>6. 卫生健康支出（类）行政事业单位医疗（款）公务员医疗补助（项）预算数为</w:t>
      </w:r>
      <w:r>
        <w:rPr>
          <w:rFonts w:hint="eastAsia" w:ascii="仿宋" w:hAnsi="仿宋" w:eastAsia="仿宋"/>
          <w:sz w:val="32"/>
          <w:szCs w:val="32"/>
          <w:lang w:val="en-US" w:eastAsia="zh-CN"/>
        </w:rPr>
        <w:t>42.50</w:t>
      </w:r>
      <w:r>
        <w:rPr>
          <w:rFonts w:hint="eastAsia" w:ascii="仿宋" w:hAnsi="仿宋" w:eastAsia="仿宋"/>
          <w:sz w:val="32"/>
          <w:szCs w:val="32"/>
        </w:rPr>
        <w:t>万元，比2023年执行数增加0.21万元。主要原因是人员工资增长。</w:t>
      </w:r>
    </w:p>
    <w:p>
      <w:pPr>
        <w:ind w:firstLine="640" w:firstLineChars="200"/>
        <w:rPr>
          <w:rFonts w:ascii="仿宋" w:hAnsi="仿宋" w:eastAsia="仿宋"/>
          <w:sz w:val="32"/>
          <w:szCs w:val="32"/>
        </w:rPr>
      </w:pPr>
      <w:r>
        <w:rPr>
          <w:rFonts w:hint="eastAsia" w:ascii="仿宋" w:hAnsi="仿宋" w:eastAsia="仿宋"/>
          <w:sz w:val="32"/>
          <w:szCs w:val="32"/>
        </w:rPr>
        <w:t>7.住房保障支出（类）住房改革支出（款）住房公积金（项）预算数为</w:t>
      </w:r>
      <w:r>
        <w:rPr>
          <w:rFonts w:hint="eastAsia" w:ascii="仿宋" w:hAnsi="仿宋" w:eastAsia="仿宋"/>
          <w:sz w:val="32"/>
          <w:szCs w:val="32"/>
          <w:lang w:val="en-US" w:eastAsia="zh-CN"/>
        </w:rPr>
        <w:t>48.29</w:t>
      </w:r>
      <w:r>
        <w:rPr>
          <w:rFonts w:hint="eastAsia" w:ascii="仿宋" w:hAnsi="仿宋" w:eastAsia="仿宋"/>
          <w:sz w:val="32"/>
          <w:szCs w:val="32"/>
        </w:rPr>
        <w:t>万元，比2023年执行数增加1.26万元。主要原因是人员工资增长。</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2024年一般公共预算基本支出</w:t>
      </w:r>
      <w:r>
        <w:rPr>
          <w:rFonts w:hint="eastAsia" w:ascii="仿宋" w:hAnsi="仿宋" w:eastAsia="仿宋"/>
          <w:sz w:val="32"/>
          <w:szCs w:val="32"/>
          <w:lang w:val="en-US" w:eastAsia="zh-CN"/>
        </w:rPr>
        <w:t>753.61</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721.55</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lang w:val="en-US" w:eastAsia="zh-CN"/>
        </w:rPr>
        <w:t>69.02</w:t>
      </w:r>
      <w:r>
        <w:rPr>
          <w:rFonts w:hint="eastAsia" w:ascii="仿宋" w:hAnsi="仿宋" w:eastAsia="仿宋"/>
          <w:sz w:val="32"/>
          <w:szCs w:val="32"/>
        </w:rPr>
        <w:t>万元、伙食补助费</w:t>
      </w:r>
      <w:r>
        <w:rPr>
          <w:rFonts w:hint="eastAsia" w:ascii="仿宋" w:hAnsi="仿宋" w:eastAsia="仿宋"/>
          <w:sz w:val="32"/>
          <w:szCs w:val="32"/>
          <w:lang w:val="en-US" w:eastAsia="zh-CN"/>
        </w:rPr>
        <w:t>9.60</w:t>
      </w:r>
      <w:r>
        <w:rPr>
          <w:rFonts w:hint="eastAsia" w:ascii="仿宋" w:hAnsi="仿宋" w:eastAsia="仿宋"/>
          <w:sz w:val="32"/>
          <w:szCs w:val="32"/>
        </w:rPr>
        <w:t>万元、</w:t>
      </w:r>
      <w:r>
        <w:rPr>
          <w:rFonts w:ascii="仿宋" w:hAnsi="仿宋" w:eastAsia="仿宋"/>
          <w:sz w:val="32"/>
          <w:szCs w:val="32"/>
        </w:rPr>
        <w:t>机关事业单位养老保险缴费</w:t>
      </w:r>
      <w:r>
        <w:rPr>
          <w:rFonts w:hint="eastAsia" w:ascii="仿宋" w:hAnsi="仿宋" w:eastAsia="仿宋"/>
          <w:sz w:val="32"/>
          <w:szCs w:val="32"/>
          <w:lang w:val="en-US" w:eastAsia="zh-CN"/>
        </w:rPr>
        <w:t>63.46</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lang w:val="en-US" w:eastAsia="zh-CN"/>
        </w:rPr>
        <w:t>30.99</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lang w:val="en-US" w:eastAsia="zh-CN"/>
        </w:rPr>
        <w:t>8.05</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lang w:val="en-US" w:eastAsia="zh-CN"/>
        </w:rPr>
        <w:t>0.40</w:t>
      </w:r>
      <w:r>
        <w:rPr>
          <w:rFonts w:hint="eastAsia" w:ascii="仿宋" w:hAnsi="仿宋" w:eastAsia="仿宋"/>
          <w:sz w:val="32"/>
          <w:szCs w:val="32"/>
        </w:rPr>
        <w:t>万元、</w:t>
      </w:r>
      <w:r>
        <w:rPr>
          <w:rFonts w:ascii="仿宋" w:hAnsi="仿宋" w:eastAsia="仿宋"/>
          <w:sz w:val="32"/>
          <w:szCs w:val="32"/>
        </w:rPr>
        <w:t>其他工资福利支出</w:t>
      </w:r>
      <w:r>
        <w:rPr>
          <w:rFonts w:hint="eastAsia" w:ascii="仿宋" w:hAnsi="仿宋" w:eastAsia="仿宋"/>
          <w:sz w:val="32"/>
          <w:szCs w:val="32"/>
          <w:lang w:val="en-US" w:eastAsia="zh-CN"/>
        </w:rPr>
        <w:t>119.87</w:t>
      </w:r>
      <w:r>
        <w:rPr>
          <w:rFonts w:hint="eastAsia" w:ascii="仿宋" w:hAnsi="仿宋" w:eastAsia="仿宋"/>
          <w:sz w:val="32"/>
          <w:szCs w:val="32"/>
        </w:rPr>
        <w:t>万元、</w:t>
      </w:r>
      <w:r>
        <w:rPr>
          <w:rFonts w:ascii="仿宋" w:hAnsi="仿宋" w:eastAsia="仿宋"/>
          <w:sz w:val="32"/>
          <w:szCs w:val="32"/>
        </w:rPr>
        <w:t>住房公积金</w:t>
      </w:r>
      <w:r>
        <w:rPr>
          <w:rFonts w:hint="eastAsia" w:ascii="仿宋" w:hAnsi="仿宋" w:eastAsia="仿宋"/>
          <w:sz w:val="32"/>
          <w:szCs w:val="32"/>
          <w:lang w:val="en-US" w:eastAsia="zh-CN"/>
        </w:rPr>
        <w:t>48.29</w:t>
      </w:r>
      <w:r>
        <w:rPr>
          <w:rFonts w:hint="eastAsia" w:ascii="仿宋" w:hAnsi="仿宋" w:eastAsia="仿宋"/>
          <w:sz w:val="32"/>
          <w:szCs w:val="32"/>
        </w:rPr>
        <w:t>万元、</w:t>
      </w:r>
      <w:r>
        <w:rPr>
          <w:rFonts w:ascii="仿宋" w:hAnsi="仿宋" w:eastAsia="仿宋"/>
          <w:sz w:val="32"/>
          <w:szCs w:val="32"/>
        </w:rPr>
        <w:t>医疗费</w:t>
      </w:r>
      <w:r>
        <w:rPr>
          <w:rFonts w:hint="eastAsia" w:ascii="仿宋" w:hAnsi="仿宋" w:eastAsia="仿宋"/>
          <w:sz w:val="32"/>
          <w:szCs w:val="32"/>
          <w:lang w:val="en-US" w:eastAsia="zh-CN"/>
        </w:rPr>
        <w:t>3.46</w:t>
      </w:r>
      <w:r>
        <w:rPr>
          <w:rFonts w:hint="eastAsia" w:ascii="仿宋" w:hAnsi="仿宋" w:eastAsia="仿宋"/>
          <w:sz w:val="32"/>
          <w:szCs w:val="32"/>
        </w:rPr>
        <w:t>万元、</w:t>
      </w:r>
      <w:r>
        <w:rPr>
          <w:rFonts w:ascii="仿宋" w:hAnsi="仿宋" w:eastAsia="仿宋"/>
          <w:sz w:val="32"/>
          <w:szCs w:val="32"/>
        </w:rPr>
        <w:t>对个人和家庭的补助</w:t>
      </w:r>
      <w:r>
        <w:rPr>
          <w:rFonts w:hint="eastAsia" w:ascii="仿宋" w:hAnsi="仿宋" w:eastAsia="仿宋"/>
          <w:sz w:val="32"/>
          <w:szCs w:val="32"/>
          <w:lang w:val="en-US" w:eastAsia="zh-CN"/>
        </w:rPr>
        <w:t>1.15</w:t>
      </w:r>
      <w:r>
        <w:rPr>
          <w:rFonts w:hint="eastAsia" w:ascii="仿宋" w:hAnsi="仿宋" w:eastAsia="仿宋"/>
          <w:sz w:val="32"/>
          <w:szCs w:val="32"/>
        </w:rPr>
        <w:t>万元、。</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28.48</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lang w:val="en-US" w:eastAsia="zh-CN"/>
        </w:rPr>
        <w:t>17.87</w:t>
      </w:r>
      <w:r>
        <w:rPr>
          <w:rFonts w:hint="eastAsia" w:ascii="仿宋" w:hAnsi="仿宋" w:eastAsia="仿宋"/>
          <w:sz w:val="32"/>
          <w:szCs w:val="32"/>
        </w:rPr>
        <w:t>万元、</w:t>
      </w:r>
      <w:r>
        <w:rPr>
          <w:rFonts w:ascii="仿宋" w:hAnsi="仿宋" w:eastAsia="仿宋"/>
          <w:sz w:val="32"/>
          <w:szCs w:val="32"/>
        </w:rPr>
        <w:t>工会经费</w:t>
      </w:r>
      <w:r>
        <w:rPr>
          <w:rFonts w:hint="eastAsia" w:ascii="仿宋" w:hAnsi="仿宋" w:eastAsia="仿宋"/>
          <w:sz w:val="32"/>
          <w:szCs w:val="32"/>
          <w:lang w:val="en-US" w:eastAsia="zh-CN"/>
        </w:rPr>
        <w:t>8.65</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2024年“三公”经费预算数为</w:t>
      </w:r>
      <w:r>
        <w:rPr>
          <w:rFonts w:hint="eastAsia" w:ascii="仿宋" w:hAnsi="仿宋" w:eastAsia="仿宋"/>
          <w:sz w:val="32"/>
          <w:szCs w:val="32"/>
          <w:lang w:val="en-US" w:eastAsia="zh-CN"/>
        </w:rPr>
        <w:t>28.48</w:t>
      </w:r>
      <w:r>
        <w:rPr>
          <w:rFonts w:hint="eastAsia" w:ascii="仿宋" w:hAnsi="仿宋" w:eastAsia="仿宋"/>
          <w:sz w:val="32"/>
          <w:szCs w:val="32"/>
        </w:rPr>
        <w:t>万元，其中：因公出国（境）费0万元，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lang w:val="en-US" w:eastAsia="zh-CN"/>
        </w:rPr>
        <w:t>8</w:t>
      </w:r>
      <w:r>
        <w:rPr>
          <w:rFonts w:hint="eastAsia" w:ascii="仿宋" w:hAnsi="仿宋" w:eastAsia="仿宋"/>
          <w:sz w:val="32"/>
          <w:szCs w:val="32"/>
        </w:rPr>
        <w:t>万元，公务接待费</w:t>
      </w:r>
      <w:r>
        <w:rPr>
          <w:rFonts w:hint="eastAsia" w:ascii="仿宋" w:hAnsi="仿宋" w:eastAsia="仿宋"/>
          <w:sz w:val="32"/>
          <w:szCs w:val="32"/>
          <w:lang w:val="en-US" w:eastAsia="zh-CN"/>
        </w:rPr>
        <w:t>0.48</w:t>
      </w:r>
      <w:r>
        <w:rPr>
          <w:rFonts w:hint="eastAsia" w:ascii="仿宋" w:hAnsi="仿宋" w:eastAsia="仿宋"/>
          <w:sz w:val="32"/>
          <w:szCs w:val="32"/>
        </w:rPr>
        <w:t>万元。“三公”经费预算比2023年增加26</w:t>
      </w:r>
      <w:r>
        <w:rPr>
          <w:rFonts w:hint="eastAsia" w:ascii="仿宋" w:hAnsi="仿宋" w:eastAsia="仿宋"/>
          <w:sz w:val="32"/>
          <w:szCs w:val="32"/>
          <w:lang w:val="en-US" w:eastAsia="zh-CN"/>
        </w:rPr>
        <w:t>.98</w:t>
      </w:r>
      <w:r>
        <w:rPr>
          <w:rFonts w:hint="eastAsia" w:ascii="仿宋" w:hAnsi="仿宋" w:eastAsia="仿宋"/>
          <w:sz w:val="32"/>
          <w:szCs w:val="32"/>
        </w:rPr>
        <w:t>万元，主要原因是因案件量大出差较为频繁油料费用于较多。</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政府性基金预算当年拨款0万元 ，我单位2024年度没有政府性基金安排的支出。</w:t>
      </w:r>
      <w:r>
        <w:rPr>
          <w:rFonts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 xml:space="preserve"> “三公”经费预算数为0万元。</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2024</w:t>
      </w:r>
      <w:r>
        <w:rPr>
          <w:rFonts w:hint="eastAsia" w:ascii="仿宋" w:hAnsi="仿宋" w:eastAsia="仿宋"/>
          <w:sz w:val="32"/>
          <w:szCs w:val="32"/>
        </w:rPr>
        <w:t>年</w:t>
      </w:r>
      <w:r>
        <w:rPr>
          <w:rFonts w:hint="eastAsia" w:ascii="仿宋" w:hAnsi="仿宋" w:eastAsia="仿宋"/>
          <w:sz w:val="32"/>
          <w:szCs w:val="32"/>
          <w:lang w:eastAsia="zh-CN"/>
        </w:rPr>
        <w:t>聂荣</w:t>
      </w:r>
      <w:r>
        <w:rPr>
          <w:rFonts w:hint="eastAsia" w:ascii="仿宋" w:hAnsi="仿宋" w:eastAsia="仿宋"/>
          <w:sz w:val="32"/>
          <w:szCs w:val="32"/>
        </w:rPr>
        <w:t>县人民法院机关运行经费财政拨款预算</w:t>
      </w:r>
      <w:r>
        <w:rPr>
          <w:rFonts w:hint="eastAsia" w:ascii="仿宋" w:hAnsi="仿宋" w:eastAsia="仿宋"/>
          <w:sz w:val="32"/>
          <w:szCs w:val="32"/>
          <w:lang w:val="en-US" w:eastAsia="zh-CN"/>
        </w:rPr>
        <w:t>63.46</w:t>
      </w:r>
      <w:r>
        <w:rPr>
          <w:rFonts w:hint="eastAsia" w:ascii="仿宋" w:hAnsi="仿宋" w:eastAsia="仿宋"/>
          <w:sz w:val="32"/>
          <w:szCs w:val="32"/>
        </w:rPr>
        <w:t>万元，比</w:t>
      </w:r>
      <w:r>
        <w:rPr>
          <w:rFonts w:ascii="仿宋" w:hAnsi="仿宋" w:eastAsia="仿宋"/>
          <w:sz w:val="32"/>
          <w:szCs w:val="32"/>
        </w:rPr>
        <w:t>2023</w:t>
      </w:r>
      <w:r>
        <w:rPr>
          <w:rFonts w:hint="eastAsia" w:ascii="仿宋" w:hAnsi="仿宋" w:eastAsia="仿宋"/>
          <w:sz w:val="32"/>
          <w:szCs w:val="32"/>
        </w:rPr>
        <w:t>年预算增加</w:t>
      </w:r>
      <w:r>
        <w:rPr>
          <w:rFonts w:hint="eastAsia" w:ascii="仿宋" w:hAnsi="仿宋" w:eastAsia="仿宋"/>
          <w:sz w:val="32"/>
          <w:szCs w:val="32"/>
          <w:lang w:val="en-US" w:eastAsia="zh-CN"/>
        </w:rPr>
        <w:t>8.98</w:t>
      </w:r>
      <w:r>
        <w:rPr>
          <w:rFonts w:hint="eastAsia" w:ascii="仿宋" w:hAnsi="仿宋" w:eastAsia="仿宋"/>
          <w:sz w:val="32"/>
          <w:szCs w:val="32"/>
        </w:rPr>
        <w:t>万元。主要原因是人员增加</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ind w:firstLine="640" w:firstLineChars="200"/>
        <w:rPr>
          <w:rFonts w:ascii="仿宋" w:hAnsi="仿宋" w:eastAsia="仿宋"/>
          <w:sz w:val="32"/>
          <w:szCs w:val="32"/>
        </w:rPr>
      </w:pPr>
      <w:r>
        <w:rPr>
          <w:rFonts w:hint="eastAsia" w:ascii="仿宋" w:hAnsi="仿宋" w:eastAsia="仿宋"/>
          <w:sz w:val="32"/>
          <w:szCs w:val="32"/>
        </w:rPr>
        <w:t>我院年初未安排政府采购预算资金。</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spacing w:line="576"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截至</w:t>
      </w:r>
      <w:r>
        <w:rPr>
          <w:rFonts w:ascii="仿宋" w:hAnsi="仿宋" w:eastAsia="仿宋"/>
          <w:color w:val="000000" w:themeColor="text1"/>
          <w:sz w:val="32"/>
          <w:szCs w:val="32"/>
        </w:rPr>
        <w:t>202</w:t>
      </w:r>
      <w:r>
        <w:rPr>
          <w:rFonts w:hint="eastAsia" w:ascii="仿宋" w:hAnsi="仿宋" w:eastAsia="仿宋"/>
          <w:color w:val="000000" w:themeColor="text1"/>
          <w:sz w:val="32"/>
          <w:szCs w:val="32"/>
        </w:rPr>
        <w:t>4年1月底，本</w:t>
      </w:r>
      <w:r>
        <w:rPr>
          <w:rFonts w:ascii="仿宋" w:hAnsi="仿宋" w:eastAsia="仿宋"/>
          <w:color w:val="000000" w:themeColor="text1"/>
          <w:sz w:val="32"/>
          <w:szCs w:val="32"/>
        </w:rPr>
        <w:t>部门</w:t>
      </w:r>
      <w:r>
        <w:rPr>
          <w:rFonts w:hint="eastAsia" w:ascii="仿宋" w:hAnsi="仿宋" w:eastAsia="仿宋"/>
          <w:color w:val="000000" w:themeColor="text1"/>
          <w:sz w:val="32"/>
          <w:szCs w:val="32"/>
        </w:rPr>
        <w:t>共有车辆</w:t>
      </w:r>
      <w:r>
        <w:rPr>
          <w:rFonts w:hint="eastAsia" w:ascii="仿宋" w:hAnsi="仿宋" w:eastAsia="仿宋"/>
          <w:color w:val="000000" w:themeColor="text1"/>
          <w:sz w:val="32"/>
          <w:szCs w:val="32"/>
          <w:lang w:val="en-US" w:eastAsia="zh-CN"/>
        </w:rPr>
        <w:t>8</w:t>
      </w:r>
      <w:r>
        <w:rPr>
          <w:rFonts w:hint="eastAsia" w:ascii="仿宋" w:hAnsi="仿宋" w:eastAsia="仿宋"/>
          <w:color w:val="000000" w:themeColor="text1"/>
          <w:sz w:val="32"/>
          <w:szCs w:val="32"/>
        </w:rPr>
        <w:t>辆，其中，执法执勤用车辆</w:t>
      </w:r>
      <w:r>
        <w:rPr>
          <w:rFonts w:hint="eastAsia" w:ascii="仿宋" w:hAnsi="仿宋" w:eastAsia="仿宋"/>
          <w:color w:val="000000" w:themeColor="text1"/>
          <w:sz w:val="32"/>
          <w:szCs w:val="32"/>
          <w:lang w:val="en-US" w:eastAsia="zh-CN"/>
        </w:rPr>
        <w:t>8</w:t>
      </w:r>
      <w:r>
        <w:rPr>
          <w:rFonts w:hint="eastAsia" w:ascii="仿宋" w:hAnsi="仿宋" w:eastAsia="仿宋"/>
          <w:color w:val="000000" w:themeColor="text1"/>
          <w:sz w:val="32"/>
          <w:szCs w:val="32"/>
        </w:rPr>
        <w:t>辆，特种专业技术用车辆</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 xml:space="preserve"> 辆</w:t>
      </w:r>
      <w:r>
        <w:rPr>
          <w:rFonts w:hint="eastAsia" w:ascii="仿宋_GB2312" w:eastAsia="仿宋_GB2312" w:cs="仿宋_GB2312" w:hAnsiTheme="minorHAnsi"/>
          <w:color w:val="000000" w:themeColor="text1"/>
          <w:kern w:val="0"/>
          <w:sz w:val="32"/>
          <w:szCs w:val="32"/>
        </w:rPr>
        <w:t>，</w:t>
      </w:r>
      <w:r>
        <w:rPr>
          <w:rFonts w:hint="eastAsia" w:ascii="仿宋" w:hAnsi="仿宋" w:eastAsia="仿宋"/>
          <w:color w:val="000000" w:themeColor="text1"/>
          <w:sz w:val="32"/>
          <w:szCs w:val="32"/>
        </w:rPr>
        <w:t>其他用车</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辆。单位价值</w:t>
      </w:r>
      <w:r>
        <w:rPr>
          <w:rFonts w:ascii="仿宋" w:hAnsi="仿宋" w:eastAsia="仿宋"/>
          <w:color w:val="000000" w:themeColor="text1"/>
          <w:sz w:val="32"/>
          <w:szCs w:val="32"/>
        </w:rPr>
        <w:t>50</w:t>
      </w:r>
      <w:r>
        <w:rPr>
          <w:rFonts w:hint="eastAsia" w:ascii="仿宋" w:hAnsi="仿宋" w:eastAsia="仿宋"/>
          <w:color w:val="000000" w:themeColor="text1"/>
          <w:sz w:val="32"/>
          <w:szCs w:val="32"/>
        </w:rPr>
        <w:t>万-100万元通用设备0台（套），单位价值</w:t>
      </w:r>
      <w:r>
        <w:rPr>
          <w:rFonts w:ascii="仿宋" w:hAnsi="仿宋" w:eastAsia="仿宋"/>
          <w:color w:val="000000" w:themeColor="text1"/>
          <w:sz w:val="32"/>
          <w:szCs w:val="32"/>
        </w:rPr>
        <w:t>100</w:t>
      </w:r>
      <w:r>
        <w:rPr>
          <w:rFonts w:hint="eastAsia" w:ascii="仿宋" w:hAnsi="仿宋" w:eastAsia="仿宋"/>
          <w:color w:val="000000" w:themeColor="text1"/>
          <w:sz w:val="32"/>
          <w:szCs w:val="32"/>
        </w:rPr>
        <w:t>万元以上专用设备0台（套）。</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例如：2024年实现财政支出绩效目标管理全覆盖，实行绩效目标管理8个，资金</w:t>
      </w:r>
      <w:r>
        <w:rPr>
          <w:rFonts w:hint="eastAsia" w:ascii="仿宋" w:hAnsi="仿宋" w:eastAsia="仿宋"/>
          <w:sz w:val="32"/>
          <w:szCs w:val="32"/>
          <w:lang w:val="en-US" w:eastAsia="zh-CN"/>
        </w:rPr>
        <w:t>1043.43</w:t>
      </w:r>
      <w:r>
        <w:rPr>
          <w:rFonts w:hint="eastAsia" w:ascii="仿宋" w:hAnsi="仿宋" w:eastAsia="仿宋"/>
          <w:sz w:val="32"/>
          <w:szCs w:val="32"/>
        </w:rPr>
        <w:t>万元，其中：中央转移支付资金</w:t>
      </w:r>
      <w:r>
        <w:rPr>
          <w:rFonts w:hint="eastAsia" w:ascii="仿宋" w:hAnsi="仿宋" w:eastAsia="仿宋"/>
          <w:sz w:val="32"/>
          <w:szCs w:val="32"/>
          <w:lang w:val="en-US" w:eastAsia="zh-CN"/>
        </w:rPr>
        <w:t>219.07</w:t>
      </w:r>
      <w:r>
        <w:rPr>
          <w:rFonts w:hint="eastAsia" w:ascii="仿宋" w:hAnsi="仿宋" w:eastAsia="仿宋"/>
          <w:sz w:val="32"/>
          <w:szCs w:val="32"/>
        </w:rPr>
        <w:t>万元，地方资金</w:t>
      </w:r>
      <w:r>
        <w:rPr>
          <w:rFonts w:hint="eastAsia" w:ascii="仿宋" w:hAnsi="仿宋" w:eastAsia="仿宋"/>
          <w:sz w:val="32"/>
          <w:szCs w:val="32"/>
          <w:lang w:val="en-US" w:eastAsia="zh-CN"/>
        </w:rPr>
        <w:t>824.36</w:t>
      </w:r>
      <w:r>
        <w:rPr>
          <w:rFonts w:hint="eastAsia" w:ascii="仿宋" w:hAnsi="仿宋" w:eastAsia="仿宋"/>
          <w:sz w:val="32"/>
          <w:szCs w:val="32"/>
        </w:rPr>
        <w:t>7万元。重点项目实行绩效目标管理5个，分别是：人民陪审员经费</w:t>
      </w:r>
      <w:r>
        <w:rPr>
          <w:rFonts w:hint="eastAsia" w:ascii="仿宋" w:hAnsi="仿宋" w:eastAsia="仿宋"/>
          <w:sz w:val="32"/>
          <w:szCs w:val="32"/>
          <w:lang w:val="en-US" w:eastAsia="zh-CN"/>
        </w:rPr>
        <w:t>1.003</w:t>
      </w:r>
      <w:r>
        <w:rPr>
          <w:rFonts w:hint="eastAsia" w:ascii="仿宋" w:hAnsi="仿宋" w:eastAsia="仿宋"/>
          <w:sz w:val="32"/>
          <w:szCs w:val="32"/>
        </w:rPr>
        <w:t>万元，占年初项目支出预算总额的0.36%；特约调解员经费</w:t>
      </w:r>
      <w:r>
        <w:rPr>
          <w:rFonts w:hint="eastAsia" w:ascii="仿宋" w:hAnsi="仿宋" w:eastAsia="仿宋"/>
          <w:sz w:val="32"/>
          <w:szCs w:val="32"/>
          <w:lang w:val="en-US" w:eastAsia="zh-CN"/>
        </w:rPr>
        <w:t>5.02</w:t>
      </w:r>
      <w:r>
        <w:rPr>
          <w:rFonts w:hint="eastAsia" w:ascii="仿宋" w:hAnsi="仿宋" w:eastAsia="仿宋"/>
          <w:sz w:val="32"/>
          <w:szCs w:val="32"/>
        </w:rPr>
        <w:t>万元，占年初项目支出预算总额的0.61%；司法救助金</w:t>
      </w:r>
      <w:r>
        <w:rPr>
          <w:rFonts w:hint="eastAsia" w:ascii="仿宋" w:hAnsi="仿宋" w:eastAsia="仿宋"/>
          <w:sz w:val="32"/>
          <w:szCs w:val="32"/>
          <w:lang w:val="en-US" w:eastAsia="zh-CN"/>
        </w:rPr>
        <w:t>15</w:t>
      </w:r>
      <w:r>
        <w:rPr>
          <w:rFonts w:hint="eastAsia" w:ascii="仿宋" w:hAnsi="仿宋" w:eastAsia="仿宋"/>
          <w:sz w:val="32"/>
          <w:szCs w:val="32"/>
        </w:rPr>
        <w:t>万元，占年初项目支出预算总额的0.61%；诉讼费退付金</w:t>
      </w:r>
      <w:r>
        <w:rPr>
          <w:rFonts w:hint="eastAsia" w:ascii="仿宋" w:hAnsi="仿宋" w:eastAsia="仿宋"/>
          <w:sz w:val="32"/>
          <w:szCs w:val="32"/>
          <w:lang w:val="en-US" w:eastAsia="zh-CN"/>
        </w:rPr>
        <w:t>3</w:t>
      </w:r>
      <w:r>
        <w:rPr>
          <w:rFonts w:hint="eastAsia" w:ascii="仿宋" w:hAnsi="仿宋" w:eastAsia="仿宋"/>
          <w:sz w:val="32"/>
          <w:szCs w:val="32"/>
        </w:rPr>
        <w:t>万元，占年初项目支出预算总额的0.36%；中央政法转移支付资金</w:t>
      </w:r>
      <w:r>
        <w:rPr>
          <w:rFonts w:hint="eastAsia" w:ascii="仿宋" w:hAnsi="仿宋" w:eastAsia="仿宋"/>
          <w:sz w:val="32"/>
          <w:szCs w:val="32"/>
          <w:lang w:val="en-US" w:eastAsia="zh-CN"/>
        </w:rPr>
        <w:t>219.07</w:t>
      </w:r>
      <w:r>
        <w:rPr>
          <w:rFonts w:hint="eastAsia" w:ascii="仿宋" w:hAnsi="仿宋" w:eastAsia="仿宋"/>
          <w:sz w:val="32"/>
          <w:szCs w:val="32"/>
        </w:rPr>
        <w:t>万元，占年初项目支出预算总额的23.11%。</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ascii="楷体" w:hAnsi="楷体" w:eastAsia="楷体"/>
          <w:sz w:val="32"/>
          <w:szCs w:val="32"/>
        </w:rPr>
      </w:pPr>
      <w:r>
        <w:rPr>
          <w:rFonts w:hint="eastAsia" w:ascii="楷体" w:hAnsi="楷体" w:eastAsia="楷体"/>
          <w:sz w:val="32"/>
          <w:szCs w:val="32"/>
        </w:rPr>
        <w:t>我院2024年度无扶贫资金预算。</w:t>
      </w:r>
    </w:p>
    <w:p>
      <w:pPr>
        <w:ind w:firstLine="640" w:firstLineChars="200"/>
        <w:rPr>
          <w:rFonts w:ascii="仿宋" w:hAnsi="仿宋" w:eastAsia="仿宋"/>
          <w:sz w:val="32"/>
          <w:szCs w:val="32"/>
        </w:rPr>
      </w:pPr>
      <w:r>
        <w:rPr>
          <w:rFonts w:hint="eastAsia" w:ascii="楷体" w:hAnsi="楷体" w:eastAsia="楷体"/>
          <w:sz w:val="32"/>
          <w:szCs w:val="32"/>
        </w:rPr>
        <w:t>（六）政府债务情况。</w:t>
      </w:r>
    </w:p>
    <w:p>
      <w:pPr>
        <w:ind w:firstLine="640" w:firstLineChars="200"/>
        <w:rPr>
          <w:rFonts w:ascii="仿宋" w:hAnsi="仿宋" w:eastAsia="仿宋"/>
          <w:sz w:val="32"/>
          <w:szCs w:val="32"/>
        </w:rPr>
      </w:pPr>
      <w:r>
        <w:rPr>
          <w:rFonts w:hint="eastAsia" w:ascii="仿宋" w:hAnsi="仿宋" w:eastAsia="仿宋"/>
          <w:sz w:val="32"/>
          <w:szCs w:val="32"/>
        </w:rPr>
        <w:t>我院2024年无政府债务情况。</w:t>
      </w: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- 12 -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826270"/>
    <w:multiLevelType w:val="singleLevel"/>
    <w:tmpl w:val="63826270"/>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51D"/>
    <w:rsid w:val="00086B54"/>
    <w:rsid w:val="00086C47"/>
    <w:rsid w:val="000941A1"/>
    <w:rsid w:val="000944A2"/>
    <w:rsid w:val="00096F91"/>
    <w:rsid w:val="000A06C3"/>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41FC2"/>
    <w:rsid w:val="001501ED"/>
    <w:rsid w:val="00151C9B"/>
    <w:rsid w:val="001542E5"/>
    <w:rsid w:val="00160D39"/>
    <w:rsid w:val="00161336"/>
    <w:rsid w:val="0016385B"/>
    <w:rsid w:val="001645D8"/>
    <w:rsid w:val="00172B07"/>
    <w:rsid w:val="00174215"/>
    <w:rsid w:val="00174597"/>
    <w:rsid w:val="0018178A"/>
    <w:rsid w:val="001819B5"/>
    <w:rsid w:val="001821B9"/>
    <w:rsid w:val="00185295"/>
    <w:rsid w:val="001869BF"/>
    <w:rsid w:val="00191AAA"/>
    <w:rsid w:val="00191CD5"/>
    <w:rsid w:val="00193664"/>
    <w:rsid w:val="00197162"/>
    <w:rsid w:val="001A1066"/>
    <w:rsid w:val="001A47B8"/>
    <w:rsid w:val="001A6CD9"/>
    <w:rsid w:val="001B1981"/>
    <w:rsid w:val="001B4598"/>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041"/>
    <w:rsid w:val="002A4CB5"/>
    <w:rsid w:val="002A5EFE"/>
    <w:rsid w:val="002B4B50"/>
    <w:rsid w:val="002B6316"/>
    <w:rsid w:val="002B69B2"/>
    <w:rsid w:val="002C1CA1"/>
    <w:rsid w:val="002D2BEB"/>
    <w:rsid w:val="002E550F"/>
    <w:rsid w:val="002E7C5B"/>
    <w:rsid w:val="002F287A"/>
    <w:rsid w:val="002F4548"/>
    <w:rsid w:val="002F66C9"/>
    <w:rsid w:val="00300D1F"/>
    <w:rsid w:val="00303272"/>
    <w:rsid w:val="00303F2A"/>
    <w:rsid w:val="00306981"/>
    <w:rsid w:val="0031342C"/>
    <w:rsid w:val="003139C9"/>
    <w:rsid w:val="00320CAC"/>
    <w:rsid w:val="00322979"/>
    <w:rsid w:val="00323C72"/>
    <w:rsid w:val="003341B0"/>
    <w:rsid w:val="00334FF8"/>
    <w:rsid w:val="0033636F"/>
    <w:rsid w:val="00337B27"/>
    <w:rsid w:val="00342D59"/>
    <w:rsid w:val="00343F94"/>
    <w:rsid w:val="00352C1E"/>
    <w:rsid w:val="00355BD3"/>
    <w:rsid w:val="00356B96"/>
    <w:rsid w:val="00362AE7"/>
    <w:rsid w:val="003646E6"/>
    <w:rsid w:val="00371A4B"/>
    <w:rsid w:val="00371B62"/>
    <w:rsid w:val="00371BC9"/>
    <w:rsid w:val="003745F0"/>
    <w:rsid w:val="003767F7"/>
    <w:rsid w:val="00377555"/>
    <w:rsid w:val="00393C4E"/>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0CF1"/>
    <w:rsid w:val="003F77CF"/>
    <w:rsid w:val="00415F58"/>
    <w:rsid w:val="00422517"/>
    <w:rsid w:val="0042253D"/>
    <w:rsid w:val="00435712"/>
    <w:rsid w:val="00444A5A"/>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883"/>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87323"/>
    <w:rsid w:val="00696AF3"/>
    <w:rsid w:val="006A375F"/>
    <w:rsid w:val="006A402F"/>
    <w:rsid w:val="006A497D"/>
    <w:rsid w:val="006B047E"/>
    <w:rsid w:val="006B41A1"/>
    <w:rsid w:val="006C0E7C"/>
    <w:rsid w:val="006C1BD6"/>
    <w:rsid w:val="006C4305"/>
    <w:rsid w:val="006C64DD"/>
    <w:rsid w:val="006D5592"/>
    <w:rsid w:val="006D5B9F"/>
    <w:rsid w:val="006D7FC0"/>
    <w:rsid w:val="006E0352"/>
    <w:rsid w:val="006E11A0"/>
    <w:rsid w:val="006F3C47"/>
    <w:rsid w:val="00700592"/>
    <w:rsid w:val="00704AD0"/>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A7987"/>
    <w:rsid w:val="007B14E5"/>
    <w:rsid w:val="007C5A03"/>
    <w:rsid w:val="007D2ECF"/>
    <w:rsid w:val="007D40CB"/>
    <w:rsid w:val="007E02B9"/>
    <w:rsid w:val="007E53BB"/>
    <w:rsid w:val="007E5ABC"/>
    <w:rsid w:val="007F6B91"/>
    <w:rsid w:val="008001B3"/>
    <w:rsid w:val="0080401E"/>
    <w:rsid w:val="008049AB"/>
    <w:rsid w:val="0081024E"/>
    <w:rsid w:val="00813A99"/>
    <w:rsid w:val="0082450A"/>
    <w:rsid w:val="008314A5"/>
    <w:rsid w:val="008320D8"/>
    <w:rsid w:val="008324E1"/>
    <w:rsid w:val="00834A32"/>
    <w:rsid w:val="00835E1D"/>
    <w:rsid w:val="00841B09"/>
    <w:rsid w:val="00845E25"/>
    <w:rsid w:val="008468ED"/>
    <w:rsid w:val="0085478E"/>
    <w:rsid w:val="008609A5"/>
    <w:rsid w:val="0086465E"/>
    <w:rsid w:val="00871235"/>
    <w:rsid w:val="00875CA7"/>
    <w:rsid w:val="00876743"/>
    <w:rsid w:val="008770A2"/>
    <w:rsid w:val="0088226F"/>
    <w:rsid w:val="00885072"/>
    <w:rsid w:val="0088618E"/>
    <w:rsid w:val="00887790"/>
    <w:rsid w:val="00890723"/>
    <w:rsid w:val="008908C5"/>
    <w:rsid w:val="00893547"/>
    <w:rsid w:val="00894FB4"/>
    <w:rsid w:val="0089630C"/>
    <w:rsid w:val="008A366F"/>
    <w:rsid w:val="008A6719"/>
    <w:rsid w:val="008B115D"/>
    <w:rsid w:val="008C000B"/>
    <w:rsid w:val="008C1F95"/>
    <w:rsid w:val="008C36B4"/>
    <w:rsid w:val="008C4274"/>
    <w:rsid w:val="008C4359"/>
    <w:rsid w:val="008C5162"/>
    <w:rsid w:val="008C5164"/>
    <w:rsid w:val="008D39A8"/>
    <w:rsid w:val="008D6854"/>
    <w:rsid w:val="008D7DFD"/>
    <w:rsid w:val="008E490F"/>
    <w:rsid w:val="008E6528"/>
    <w:rsid w:val="008F3713"/>
    <w:rsid w:val="008F37FF"/>
    <w:rsid w:val="008F5023"/>
    <w:rsid w:val="008F5CAA"/>
    <w:rsid w:val="00905737"/>
    <w:rsid w:val="00906510"/>
    <w:rsid w:val="00915186"/>
    <w:rsid w:val="00917AC3"/>
    <w:rsid w:val="00924F3A"/>
    <w:rsid w:val="00931F10"/>
    <w:rsid w:val="009323D6"/>
    <w:rsid w:val="0093637E"/>
    <w:rsid w:val="00940DA3"/>
    <w:rsid w:val="00941729"/>
    <w:rsid w:val="0095324A"/>
    <w:rsid w:val="00953C23"/>
    <w:rsid w:val="00956331"/>
    <w:rsid w:val="00956F40"/>
    <w:rsid w:val="0096127B"/>
    <w:rsid w:val="00966BEE"/>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1E76"/>
    <w:rsid w:val="00B6522F"/>
    <w:rsid w:val="00B67A9E"/>
    <w:rsid w:val="00B71AC6"/>
    <w:rsid w:val="00B74CCE"/>
    <w:rsid w:val="00B84681"/>
    <w:rsid w:val="00B90F50"/>
    <w:rsid w:val="00B92C71"/>
    <w:rsid w:val="00B94DBA"/>
    <w:rsid w:val="00B96D8F"/>
    <w:rsid w:val="00BA015D"/>
    <w:rsid w:val="00BC5647"/>
    <w:rsid w:val="00BC76AA"/>
    <w:rsid w:val="00BD1F11"/>
    <w:rsid w:val="00BD2177"/>
    <w:rsid w:val="00BD2BDC"/>
    <w:rsid w:val="00BD58F0"/>
    <w:rsid w:val="00BE0427"/>
    <w:rsid w:val="00BE5388"/>
    <w:rsid w:val="00BE65E8"/>
    <w:rsid w:val="00BE6A4E"/>
    <w:rsid w:val="00BE6B5B"/>
    <w:rsid w:val="00BE6DF3"/>
    <w:rsid w:val="00BE6E67"/>
    <w:rsid w:val="00BF1A21"/>
    <w:rsid w:val="00C014C5"/>
    <w:rsid w:val="00C2239E"/>
    <w:rsid w:val="00C224B0"/>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A714B"/>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3EBC"/>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55E6"/>
    <w:rsid w:val="00F77EB8"/>
    <w:rsid w:val="00F77F72"/>
    <w:rsid w:val="00F819B1"/>
    <w:rsid w:val="00F93FA5"/>
    <w:rsid w:val="00F96845"/>
    <w:rsid w:val="00FA224C"/>
    <w:rsid w:val="00FC1DB5"/>
    <w:rsid w:val="00FC243C"/>
    <w:rsid w:val="00FC671F"/>
    <w:rsid w:val="00FD293B"/>
    <w:rsid w:val="00FE5692"/>
    <w:rsid w:val="00FE7FA4"/>
    <w:rsid w:val="00FF19E9"/>
    <w:rsid w:val="00FF5207"/>
    <w:rsid w:val="00FF5AF7"/>
    <w:rsid w:val="1B881720"/>
    <w:rsid w:val="40521F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10</Pages>
  <Words>3577</Words>
  <Characters>4035</Characters>
  <Lines>30</Lines>
  <Paragraphs>8</Paragraphs>
  <TotalTime>27</TotalTime>
  <ScaleCrop>false</ScaleCrop>
  <LinksUpToDate>false</LinksUpToDate>
  <CharactersWithSpaces>4069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2024-02-06T02:50:00Z</dcterms:created>
  <dc:creator>CN=预算处/OU=预算处/OU=西藏自治区财政厅/O=TIBET</dc:creator>
  <cp:lastModifiedBy>lenovo</cp:lastModifiedBy>
  <cp:lastPrinted>2021-01-27T11:28:00Z</cp:lastPrinted>
  <dcterms:modified xsi:type="dcterms:W3CDTF">2024-03-11T09:37:55Z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D6154107F9DC4D26BF117B2DD6DF62A5</vt:lpwstr>
  </property>
</Properties>
</file>