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EE" w:rsidRDefault="00DA3F19">
      <w:pPr>
        <w:spacing w:line="578" w:lineRule="exact"/>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西藏自治区那曲市申扎县人民检察院机关2024年度部门决算公开报告</w:t>
      </w:r>
    </w:p>
    <w:p w:rsidR="00920BEE" w:rsidRDefault="00DA3F19">
      <w:pPr>
        <w:spacing w:line="578"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（公开文字说明参考模板）</w:t>
      </w:r>
    </w:p>
    <w:p w:rsidR="00920BEE" w:rsidRDefault="00920BEE">
      <w:pPr>
        <w:spacing w:line="578" w:lineRule="exact"/>
        <w:jc w:val="center"/>
        <w:rPr>
          <w:rFonts w:ascii="黑体" w:eastAsia="黑体" w:hAnsi="ˎ̥"/>
          <w:b/>
          <w:sz w:val="32"/>
          <w:szCs w:val="32"/>
        </w:rPr>
      </w:pPr>
    </w:p>
    <w:p w:rsidR="00920BEE" w:rsidRDefault="00DA3F19">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  录</w:t>
      </w:r>
    </w:p>
    <w:p w:rsidR="00920BEE" w:rsidRDefault="00B54D1C">
      <w:pPr>
        <w:pStyle w:val="WPSOffice1"/>
        <w:tabs>
          <w:tab w:val="right" w:leader="dot" w:pos="8306"/>
        </w:tabs>
        <w:spacing w:line="578" w:lineRule="exact"/>
        <w:rPr>
          <w:sz w:val="32"/>
          <w:szCs w:val="32"/>
        </w:rPr>
      </w:pPr>
      <w:hyperlink w:anchor="_Toc1704_WPSOffice_Level1" w:history="1">
        <w:r w:rsidR="00DA3F19">
          <w:rPr>
            <w:rFonts w:ascii="黑体" w:eastAsia="黑体" w:hAnsi="ˎ̥" w:hint="eastAsia"/>
            <w:sz w:val="32"/>
            <w:szCs w:val="32"/>
          </w:rPr>
          <w:t>第一部分 基本情况</w:t>
        </w:r>
        <w:r w:rsidR="00DA3F19">
          <w:rPr>
            <w:sz w:val="32"/>
            <w:szCs w:val="32"/>
          </w:rPr>
          <w:tab/>
        </w:r>
      </w:hyperlink>
      <w:r w:rsidR="00DA3F19">
        <w:rPr>
          <w:rFonts w:hint="eastAsia"/>
          <w:sz w:val="32"/>
          <w:szCs w:val="32"/>
        </w:rPr>
        <w:t>2</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sidR="00DA3F19">
          <w:rPr>
            <w:rFonts w:ascii="仿宋" w:eastAsia="仿宋" w:hAnsi="仿宋" w:cs="仿宋" w:hint="eastAsia"/>
            <w:sz w:val="32"/>
            <w:szCs w:val="32"/>
          </w:rPr>
          <w:t>一、部门（单位）职责</w:t>
        </w:r>
        <w:r w:rsidR="00DA3F19">
          <w:rPr>
            <w:rFonts w:ascii="仿宋" w:eastAsia="仿宋" w:hAnsi="仿宋" w:cs="仿宋" w:hint="eastAsia"/>
            <w:sz w:val="32"/>
            <w:szCs w:val="32"/>
          </w:rPr>
          <w:tab/>
        </w:r>
      </w:hyperlink>
      <w:r w:rsidR="00DA3F19">
        <w:rPr>
          <w:rFonts w:ascii="仿宋" w:eastAsia="仿宋" w:hAnsi="仿宋" w:cs="仿宋" w:hint="eastAsia"/>
          <w:sz w:val="32"/>
          <w:szCs w:val="32"/>
        </w:rPr>
        <w:t>2</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sidR="00DA3F19">
          <w:rPr>
            <w:rFonts w:ascii="仿宋" w:eastAsia="仿宋" w:hAnsi="仿宋" w:cs="仿宋" w:hint="eastAsia"/>
            <w:sz w:val="32"/>
            <w:szCs w:val="32"/>
          </w:rPr>
          <w:t>二、机构设置</w:t>
        </w:r>
        <w:r w:rsidR="00DA3F19">
          <w:rPr>
            <w:rFonts w:ascii="仿宋" w:eastAsia="仿宋" w:hAnsi="仿宋" w:cs="仿宋" w:hint="eastAsia"/>
            <w:sz w:val="32"/>
            <w:szCs w:val="32"/>
          </w:rPr>
          <w:tab/>
        </w:r>
      </w:hyperlink>
      <w:r w:rsidR="00DA3F19">
        <w:rPr>
          <w:rFonts w:ascii="仿宋" w:eastAsia="仿宋" w:hAnsi="仿宋" w:cs="仿宋" w:hint="eastAsia"/>
          <w:sz w:val="32"/>
          <w:szCs w:val="32"/>
        </w:rPr>
        <w:t>2</w:t>
      </w:r>
    </w:p>
    <w:p w:rsidR="00920BEE" w:rsidRDefault="00B54D1C">
      <w:pPr>
        <w:pStyle w:val="WPSOffice1"/>
        <w:tabs>
          <w:tab w:val="right" w:leader="dot" w:pos="8306"/>
        </w:tabs>
        <w:spacing w:line="578" w:lineRule="exact"/>
        <w:rPr>
          <w:sz w:val="32"/>
          <w:szCs w:val="32"/>
        </w:rPr>
      </w:pPr>
      <w:hyperlink w:anchor="_Toc28253_WPSOffice_Level1" w:history="1">
        <w:r w:rsidR="00DA3F19">
          <w:rPr>
            <w:rFonts w:ascii="黑体" w:eastAsia="黑体" w:hAnsi="ˎ̥" w:hint="eastAsia"/>
            <w:sz w:val="32"/>
            <w:szCs w:val="32"/>
          </w:rPr>
          <w:t xml:space="preserve">第二部分  </w:t>
        </w:r>
        <w:r w:rsidR="00DA3F19">
          <w:rPr>
            <w:rFonts w:ascii="黑体" w:eastAsia="黑体" w:hAnsi="ˎ̥"/>
            <w:sz w:val="32"/>
            <w:szCs w:val="32"/>
          </w:rPr>
          <w:t>2024</w:t>
        </w:r>
        <w:r w:rsidR="00DA3F19">
          <w:rPr>
            <w:rFonts w:ascii="黑体" w:eastAsia="黑体" w:hAnsi="ˎ̥" w:hint="eastAsia"/>
            <w:sz w:val="32"/>
            <w:szCs w:val="32"/>
          </w:rPr>
          <w:t>年度部门决算公开表</w:t>
        </w:r>
        <w:r w:rsidR="00DA3F19">
          <w:rPr>
            <w:sz w:val="32"/>
            <w:szCs w:val="32"/>
          </w:rPr>
          <w:tab/>
        </w:r>
      </w:hyperlink>
      <w:r w:rsidR="00DA3F19">
        <w:rPr>
          <w:rFonts w:hint="eastAsia"/>
          <w:sz w:val="32"/>
          <w:szCs w:val="32"/>
        </w:rPr>
        <w:t>2</w:t>
      </w:r>
    </w:p>
    <w:p w:rsidR="00920BEE" w:rsidRDefault="00B54D1C">
      <w:pPr>
        <w:pStyle w:val="WPSOffice1"/>
        <w:tabs>
          <w:tab w:val="right" w:leader="dot" w:pos="8306"/>
        </w:tabs>
        <w:spacing w:line="578" w:lineRule="exact"/>
        <w:rPr>
          <w:sz w:val="32"/>
          <w:szCs w:val="32"/>
        </w:rPr>
      </w:pPr>
      <w:hyperlink w:anchor="_Toc27590_WPSOffice_Level1" w:history="1">
        <w:r w:rsidR="00DA3F19">
          <w:rPr>
            <w:rFonts w:ascii="黑体" w:eastAsia="黑体" w:hAnsi="黑体" w:cs="黑体" w:hint="eastAsia"/>
            <w:sz w:val="32"/>
            <w:szCs w:val="32"/>
          </w:rPr>
          <w:t>第三部分</w:t>
        </w:r>
        <w:r w:rsidR="00DA3F19">
          <w:rPr>
            <w:rFonts w:ascii="黑体" w:eastAsia="黑体" w:hAnsi="ˎ̥"/>
            <w:sz w:val="32"/>
            <w:szCs w:val="32"/>
          </w:rPr>
          <w:t>2024</w:t>
        </w:r>
        <w:r w:rsidR="00DA3F19">
          <w:rPr>
            <w:rFonts w:ascii="黑体" w:eastAsia="黑体" w:hAnsi="ˎ̥" w:hint="eastAsia"/>
            <w:sz w:val="32"/>
            <w:szCs w:val="32"/>
          </w:rPr>
          <w:t>年度部门决算情况说明</w:t>
        </w:r>
        <w:r w:rsidR="00DA3F19">
          <w:rPr>
            <w:sz w:val="32"/>
            <w:szCs w:val="32"/>
          </w:rPr>
          <w:tab/>
        </w:r>
      </w:hyperlink>
      <w:r w:rsidR="00DA3F19">
        <w:rPr>
          <w:rFonts w:hint="eastAsia"/>
          <w:sz w:val="32"/>
          <w:szCs w:val="32"/>
        </w:rPr>
        <w:t>3</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sidR="00DA3F19">
          <w:rPr>
            <w:rFonts w:ascii="仿宋" w:eastAsia="仿宋" w:hAnsi="仿宋" w:cs="仿宋" w:hint="eastAsia"/>
            <w:bCs/>
            <w:sz w:val="32"/>
            <w:szCs w:val="32"/>
          </w:rPr>
          <w:t>一、收入支出总体情况说明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3</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二、收入决算情况说明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4</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三、支出决算情况说明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4</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四、财政拨款收入支出决算总体情况说明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4</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五、一般公共预算财政拨款支出决算情况说明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5</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六、一般公共预算财政拨款基本支出决算情况说明</w:t>
        </w:r>
      </w:hyperlink>
      <w:r w:rsidR="00DA3F19">
        <w:rPr>
          <w:rFonts w:ascii="仿宋" w:eastAsia="仿宋" w:hAnsi="仿宋" w:cs="仿宋" w:hint="eastAsia"/>
          <w:sz w:val="32"/>
          <w:szCs w:val="32"/>
        </w:rPr>
        <w:tab/>
        <w:t>6</w:t>
      </w:r>
    </w:p>
    <w:p w:rsidR="00920BEE" w:rsidRDefault="00DA3F19">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t>7</w:t>
      </w:r>
    </w:p>
    <w:p w:rsidR="00920BEE" w:rsidRDefault="00DA3F19">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t>8</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九、财政拨款“三公”经费支出决算情况说明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9</w:t>
      </w:r>
    </w:p>
    <w:p w:rsidR="00920BEE" w:rsidRDefault="00B54D1C">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DA3F19">
          <w:rPr>
            <w:rFonts w:ascii="仿宋" w:eastAsia="仿宋" w:hAnsi="仿宋" w:cs="仿宋" w:hint="eastAsia"/>
            <w:bCs/>
            <w:sz w:val="32"/>
            <w:szCs w:val="32"/>
          </w:rPr>
          <w:t>十、预算绩效情况说明</w:t>
        </w:r>
        <w:r w:rsidR="00DA3F19">
          <w:rPr>
            <w:rFonts w:ascii="仿宋" w:eastAsia="仿宋" w:hAnsi="仿宋" w:cs="仿宋" w:hint="eastAsia"/>
            <w:sz w:val="32"/>
            <w:szCs w:val="32"/>
          </w:rPr>
          <w:tab/>
        </w:r>
      </w:hyperlink>
      <w:r w:rsidR="00DA3F19">
        <w:rPr>
          <w:rFonts w:ascii="仿宋" w:eastAsia="仿宋" w:hAnsi="仿宋" w:cs="仿宋" w:hint="eastAsia"/>
          <w:sz w:val="32"/>
          <w:szCs w:val="32"/>
        </w:rPr>
        <w:t>11</w:t>
      </w:r>
    </w:p>
    <w:p w:rsidR="00920BEE" w:rsidRDefault="00DA3F19">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hint="eastAsia"/>
          <w:sz w:val="32"/>
          <w:szCs w:val="32"/>
        </w:rPr>
        <w:tab/>
        <w:t>13</w:t>
      </w:r>
    </w:p>
    <w:p w:rsidR="00920BEE" w:rsidRDefault="00B54D1C">
      <w:pPr>
        <w:pStyle w:val="WPSOffice1"/>
        <w:tabs>
          <w:tab w:val="right" w:leader="dot" w:pos="8306"/>
        </w:tabs>
        <w:spacing w:line="578" w:lineRule="exact"/>
        <w:rPr>
          <w:rFonts w:ascii="黑体" w:hAnsi="ˎ̥"/>
          <w:b/>
          <w:sz w:val="32"/>
          <w:szCs w:val="32"/>
        </w:rPr>
      </w:pPr>
      <w:hyperlink w:anchor="_Toc15425_WPSOffice_Level1" w:history="1">
        <w:r w:rsidR="00DA3F19">
          <w:rPr>
            <w:rFonts w:ascii="黑体" w:eastAsia="黑体" w:hAnsi="ˎ̥" w:hint="eastAsia"/>
            <w:sz w:val="32"/>
            <w:szCs w:val="32"/>
          </w:rPr>
          <w:t>第四部分  名词解释</w:t>
        </w:r>
        <w:r w:rsidR="00DA3F19">
          <w:rPr>
            <w:sz w:val="32"/>
            <w:szCs w:val="32"/>
          </w:rPr>
          <w:tab/>
        </w:r>
        <w:bookmarkStart w:id="2" w:name="_Toc15425_WPSOffice_Level1Page"/>
        <w:r w:rsidR="00DA3F19">
          <w:rPr>
            <w:sz w:val="32"/>
            <w:szCs w:val="32"/>
          </w:rPr>
          <w:t>1</w:t>
        </w:r>
        <w:bookmarkEnd w:id="2"/>
      </w:hyperlink>
      <w:bookmarkEnd w:id="1"/>
      <w:r w:rsidR="00DA3F19">
        <w:rPr>
          <w:rFonts w:hint="eastAsia"/>
          <w:sz w:val="32"/>
          <w:szCs w:val="32"/>
        </w:rPr>
        <w:t>5</w:t>
      </w:r>
    </w:p>
    <w:p w:rsidR="00920BEE" w:rsidRDefault="00920BEE">
      <w:pPr>
        <w:spacing w:line="578" w:lineRule="exact"/>
        <w:rPr>
          <w:rFonts w:ascii="黑体" w:eastAsia="黑体" w:hAnsi="ˎ̥"/>
          <w:sz w:val="32"/>
          <w:szCs w:val="32"/>
        </w:rPr>
      </w:pPr>
      <w:bookmarkStart w:id="3" w:name="_Toc1704_WPSOffice_Level1"/>
      <w:bookmarkStart w:id="4" w:name="_Toc32433_WPSOffice_Level1"/>
      <w:bookmarkStart w:id="5" w:name="_Toc10720_WPSOffice_Level1"/>
      <w:bookmarkStart w:id="6" w:name="_Toc10049_WPSOffice_Level1"/>
      <w:bookmarkStart w:id="7" w:name="_Toc22941_WPSOffice_Level1"/>
      <w:bookmarkStart w:id="8" w:name="_Toc23465_WPSOffice_Level1"/>
      <w:bookmarkStart w:id="9" w:name="_Toc24238_WPSOffice_Level2"/>
      <w:bookmarkStart w:id="10" w:name="_Toc14159_WPSOffice_Level2"/>
      <w:bookmarkStart w:id="11" w:name="_Toc20205_WPSOffice_Level2"/>
      <w:bookmarkStart w:id="12" w:name="_Toc26580_WPSOffice_Level2"/>
      <w:bookmarkStart w:id="13" w:name="_Toc20274_WPSOffice_Level2"/>
      <w:bookmarkStart w:id="14" w:name="_Toc32622_WPSOffice_Level2"/>
    </w:p>
    <w:p w:rsidR="00920BEE" w:rsidRDefault="00DA3F19">
      <w:pPr>
        <w:spacing w:line="578" w:lineRule="exact"/>
        <w:jc w:val="center"/>
        <w:rPr>
          <w:rFonts w:ascii="黑体" w:eastAsia="黑体" w:hAnsi="ˎ̥"/>
          <w:sz w:val="32"/>
          <w:szCs w:val="32"/>
        </w:rPr>
      </w:pPr>
      <w:r>
        <w:rPr>
          <w:rFonts w:ascii="黑体" w:eastAsia="黑体" w:hAnsi="ˎ̥" w:hint="eastAsia"/>
          <w:sz w:val="32"/>
          <w:szCs w:val="32"/>
        </w:rPr>
        <w:t xml:space="preserve">第一部分  </w:t>
      </w:r>
      <w:bookmarkEnd w:id="3"/>
      <w:bookmarkEnd w:id="4"/>
      <w:bookmarkEnd w:id="5"/>
      <w:bookmarkEnd w:id="6"/>
      <w:bookmarkEnd w:id="7"/>
      <w:bookmarkEnd w:id="8"/>
      <w:r>
        <w:rPr>
          <w:rFonts w:ascii="黑体" w:eastAsia="黑体" w:hAnsi="ˎ̥" w:hint="eastAsia"/>
          <w:sz w:val="32"/>
          <w:szCs w:val="32"/>
        </w:rPr>
        <w:t>基本情况</w:t>
      </w:r>
    </w:p>
    <w:p w:rsidR="00920BEE" w:rsidRDefault="00920BEE">
      <w:pPr>
        <w:spacing w:line="578" w:lineRule="exact"/>
        <w:ind w:firstLineChars="200" w:firstLine="640"/>
        <w:rPr>
          <w:rFonts w:ascii="楷体" w:eastAsia="楷体" w:hAnsi="楷体" w:cs="楷体"/>
          <w:sz w:val="32"/>
          <w:szCs w:val="32"/>
        </w:rPr>
      </w:pPr>
    </w:p>
    <w:p w:rsidR="00920BEE" w:rsidRDefault="00DA3F19">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一、部门</w:t>
      </w:r>
      <w:bookmarkEnd w:id="9"/>
      <w:r>
        <w:rPr>
          <w:rFonts w:ascii="黑体" w:eastAsia="黑体" w:hAnsi="黑体" w:cs="黑体" w:hint="eastAsia"/>
          <w:sz w:val="32"/>
          <w:szCs w:val="32"/>
        </w:rPr>
        <w:t>（单位）职责</w:t>
      </w:r>
      <w:bookmarkEnd w:id="10"/>
      <w:bookmarkEnd w:id="11"/>
      <w:bookmarkEnd w:id="12"/>
      <w:bookmarkEnd w:id="13"/>
      <w:bookmarkEnd w:id="14"/>
    </w:p>
    <w:p w:rsidR="009417DC" w:rsidRPr="00EC1EE3" w:rsidRDefault="009417DC" w:rsidP="009417DC">
      <w:pPr>
        <w:snapToGrid w:val="0"/>
        <w:spacing w:line="520" w:lineRule="exact"/>
        <w:ind w:firstLineChars="200" w:firstLine="640"/>
        <w:rPr>
          <w:rFonts w:ascii="仿宋" w:eastAsia="仿宋" w:hAnsi="仿宋"/>
          <w:sz w:val="32"/>
          <w:szCs w:val="32"/>
        </w:rPr>
      </w:pPr>
      <w:r w:rsidRPr="00EC1EE3">
        <w:rPr>
          <w:rFonts w:ascii="仿宋" w:eastAsia="仿宋" w:hAnsi="仿宋" w:cs="仿宋" w:hint="eastAsia"/>
          <w:sz w:val="32"/>
          <w:szCs w:val="32"/>
        </w:rPr>
        <w:t>（一）检察业务部：1.负责对法律规定对本院办理的刑事案件、未成年人犯罪和侵害未成年人犯罪案件的审查逮捕、审车起诉、出庭支持公诉、抗诉，开展相关立案监督、侦查监督、审判监督以及相关案件的补充侦查、羁押必要性审查。2.负责办理向本院申请监督和提请抗诉的民事、刑事案件的审查、抗诉。</w:t>
      </w:r>
      <w:r w:rsidRPr="00EC1EE3">
        <w:rPr>
          <w:rFonts w:ascii="仿宋" w:eastAsia="仿宋" w:hAnsi="仿宋" w:hint="eastAsia"/>
          <w:sz w:val="32"/>
          <w:szCs w:val="32"/>
        </w:rPr>
        <w:t>3.</w:t>
      </w:r>
      <w:r w:rsidRPr="00EC1EE3">
        <w:rPr>
          <w:rFonts w:ascii="仿宋" w:eastAsia="仿宋" w:hAnsi="仿宋" w:cs="仿宋" w:hint="eastAsia"/>
          <w:sz w:val="32"/>
          <w:szCs w:val="32"/>
        </w:rPr>
        <w:t>负责对看守所和社区矫正机构等执法活动的监督，</w:t>
      </w:r>
      <w:r w:rsidRPr="00EC1EE3">
        <w:rPr>
          <w:rFonts w:ascii="仿宋" w:eastAsia="仿宋" w:hAnsi="仿宋" w:cs="仿宋" w:hint="eastAsia"/>
          <w:sz w:val="32"/>
          <w:szCs w:val="32"/>
        </w:rPr>
        <w:lastRenderedPageBreak/>
        <w:t>对刑事判决、裁定执行、强制医疗执行、挤压和办案期限的监督，羁押必要性审查。</w:t>
      </w:r>
      <w:r w:rsidRPr="00EC1EE3">
        <w:rPr>
          <w:rFonts w:ascii="仿宋" w:eastAsia="仿宋" w:hAnsi="仿宋" w:hint="eastAsia"/>
          <w:sz w:val="32"/>
          <w:szCs w:val="32"/>
        </w:rPr>
        <w:t>4.</w:t>
      </w:r>
      <w:r w:rsidRPr="00EC1EE3">
        <w:rPr>
          <w:rFonts w:ascii="仿宋" w:eastAsia="仿宋" w:hAnsi="仿宋" w:cs="仿宋" w:hint="eastAsia"/>
          <w:sz w:val="32"/>
          <w:szCs w:val="32"/>
        </w:rPr>
        <w:t>负责案件管理、接待辩护人和诉讼代理人、人民监督员工作。</w:t>
      </w:r>
    </w:p>
    <w:p w:rsidR="009417DC" w:rsidRPr="00EC1EE3" w:rsidRDefault="009417DC" w:rsidP="009417DC">
      <w:pPr>
        <w:rPr>
          <w:rFonts w:ascii="仿宋" w:eastAsia="仿宋" w:hAnsi="仿宋" w:cs="仿宋"/>
          <w:sz w:val="32"/>
          <w:szCs w:val="32"/>
        </w:rPr>
      </w:pPr>
      <w:r w:rsidRPr="00EC1EE3">
        <w:rPr>
          <w:rFonts w:ascii="仿宋" w:eastAsia="仿宋" w:hAnsi="仿宋" w:cs="仿宋" w:hint="eastAsia"/>
          <w:sz w:val="32"/>
          <w:szCs w:val="32"/>
        </w:rPr>
        <w:t xml:space="preserve">    负责人：巴旦曲琼  检察业务部主任</w:t>
      </w:r>
    </w:p>
    <w:p w:rsidR="009417DC" w:rsidRPr="00EC1EE3" w:rsidRDefault="009417DC" w:rsidP="009417DC">
      <w:pPr>
        <w:spacing w:line="560" w:lineRule="exact"/>
        <w:ind w:firstLineChars="200" w:firstLine="640"/>
        <w:rPr>
          <w:rFonts w:ascii="仿宋" w:eastAsia="仿宋" w:hAnsi="仿宋"/>
          <w:sz w:val="32"/>
          <w:szCs w:val="32"/>
        </w:rPr>
      </w:pPr>
      <w:r w:rsidRPr="00EC1EE3">
        <w:rPr>
          <w:rFonts w:ascii="仿宋" w:eastAsia="仿宋" w:hAnsi="仿宋" w:cs="仿宋" w:hint="eastAsia"/>
          <w:sz w:val="32"/>
          <w:szCs w:val="32"/>
        </w:rPr>
        <w:t>（二）检察综合部：</w:t>
      </w:r>
      <w:r w:rsidRPr="00EC1EE3">
        <w:rPr>
          <w:rFonts w:ascii="仿宋" w:eastAsia="仿宋" w:hAnsi="仿宋" w:hint="eastAsia"/>
          <w:sz w:val="32"/>
          <w:szCs w:val="32"/>
        </w:rPr>
        <w:t>负责机关文电、会务、机要、档案、保密等工作。负责领导同志批办事项的督查工作。负责人大代表、政协委员和特约检察员的联系工作。负责财务装备管理工作，以及检察技术、信息化建设、信息安全等工作。负责本院党的建设、领导班子建设、干部队伍与组织建设、检察官管理、劳动工资管理，以及检察官遴选、检察官助理和聘用制书记员统一招录等工作。负责机关意识形态、新闻宣传和舆论引导、检察文化建设工作。负责司法警察工作，以及本院警务保障和机关的安全保卫等工作。</w:t>
      </w:r>
    </w:p>
    <w:p w:rsidR="009417DC" w:rsidRPr="009417DC" w:rsidRDefault="009417DC" w:rsidP="009417DC">
      <w:pPr>
        <w:spacing w:line="578" w:lineRule="exact"/>
        <w:ind w:firstLineChars="200" w:firstLine="640"/>
        <w:rPr>
          <w:rFonts w:ascii="黑体" w:eastAsia="黑体" w:hAnsi="黑体" w:cs="黑体"/>
          <w:sz w:val="32"/>
          <w:szCs w:val="32"/>
        </w:rPr>
      </w:pPr>
      <w:r w:rsidRPr="00EC1EE3">
        <w:rPr>
          <w:rFonts w:ascii="仿宋" w:eastAsia="仿宋" w:hAnsi="仿宋" w:cs="仿宋" w:hint="eastAsia"/>
          <w:sz w:val="32"/>
          <w:szCs w:val="32"/>
        </w:rPr>
        <w:t>负责人：罗布占堆、二级主任科员。</w:t>
      </w:r>
    </w:p>
    <w:p w:rsidR="00920BEE" w:rsidRDefault="00DA3F19">
      <w:pPr>
        <w:spacing w:line="578" w:lineRule="exact"/>
        <w:ind w:firstLineChars="200" w:firstLine="640"/>
        <w:rPr>
          <w:rFonts w:ascii="黑体" w:eastAsia="黑体" w:hAnsi="黑体" w:cs="黑体"/>
          <w:sz w:val="32"/>
          <w:szCs w:val="32"/>
        </w:rPr>
      </w:pPr>
      <w:bookmarkStart w:id="15" w:name="_Toc6572_WPSOffice_Level2"/>
      <w:bookmarkStart w:id="16" w:name="_Toc4833_WPSOffice_Level2"/>
      <w:bookmarkStart w:id="17" w:name="_Toc24059_WPSOffice_Level2"/>
      <w:bookmarkStart w:id="18" w:name="_Toc24474_WPSOffice_Level2"/>
      <w:bookmarkStart w:id="19" w:name="_Toc17796_WPSOffice_Level2"/>
      <w:r>
        <w:rPr>
          <w:rFonts w:ascii="黑体" w:eastAsia="黑体" w:hAnsi="黑体" w:cs="黑体" w:hint="eastAsia"/>
          <w:sz w:val="32"/>
          <w:szCs w:val="32"/>
        </w:rPr>
        <w:t>二、机构设置</w:t>
      </w:r>
      <w:bookmarkEnd w:id="15"/>
      <w:bookmarkEnd w:id="16"/>
      <w:bookmarkEnd w:id="17"/>
      <w:bookmarkEnd w:id="18"/>
      <w:bookmarkEnd w:id="19"/>
    </w:p>
    <w:p w:rsidR="00920BEE" w:rsidRPr="009417DC" w:rsidRDefault="009417DC" w:rsidP="009417DC">
      <w:pPr>
        <w:spacing w:line="560" w:lineRule="exact"/>
        <w:ind w:firstLineChars="200" w:firstLine="640"/>
        <w:rPr>
          <w:rFonts w:ascii="仿宋" w:eastAsia="仿宋" w:hAnsi="仿宋"/>
          <w:sz w:val="32"/>
          <w:szCs w:val="32"/>
        </w:rPr>
      </w:pPr>
      <w:r w:rsidRPr="00EC1EE3">
        <w:rPr>
          <w:rFonts w:ascii="仿宋" w:eastAsia="仿宋" w:hAnsi="仿宋" w:hint="eastAsia"/>
          <w:sz w:val="32"/>
          <w:szCs w:val="32"/>
        </w:rPr>
        <w:t>本单位设置2个内设机构，分别为：检察业务部、检察综合部。</w:t>
      </w:r>
      <w:bookmarkStart w:id="20" w:name="_Toc30690_WPSOffice_Level1"/>
      <w:bookmarkStart w:id="21" w:name="_Toc28253_WPSOffice_Level1"/>
      <w:bookmarkStart w:id="22" w:name="_Toc6234_WPSOffice_Level1"/>
      <w:bookmarkStart w:id="23" w:name="_Toc30451_WPSOffice_Level1"/>
      <w:bookmarkStart w:id="24" w:name="_Toc15521_WPSOffice_Level1"/>
      <w:bookmarkStart w:id="25" w:name="_Toc8164_WPSOffice_Level1"/>
      <w:bookmarkStart w:id="26" w:name="_Toc4029_WPSOffice_Level2"/>
      <w:bookmarkStart w:id="27" w:name="_Toc11518_WPSOffice_Level2"/>
      <w:bookmarkStart w:id="28" w:name="_Toc8867_WPSOffice_Level2"/>
      <w:bookmarkStart w:id="29" w:name="_Toc32695_WPSOffice_Level2"/>
      <w:bookmarkStart w:id="30" w:name="_Toc32472_WPSOffice_Level2"/>
      <w:bookmarkStart w:id="31" w:name="_Toc6211_WPSOffice_Level2"/>
    </w:p>
    <w:p w:rsidR="00310B12" w:rsidRPr="00310B12" w:rsidRDefault="00310B12" w:rsidP="00310B12">
      <w:pPr>
        <w:spacing w:line="578" w:lineRule="exact"/>
        <w:jc w:val="center"/>
        <w:rPr>
          <w:rFonts w:ascii="黑体" w:eastAsia="黑体" w:hAnsi="ˎ̥"/>
          <w:sz w:val="32"/>
          <w:szCs w:val="32"/>
        </w:rPr>
      </w:pPr>
      <w:bookmarkStart w:id="32" w:name="_Toc29886_WPSOffice_Level2"/>
      <w:bookmarkStart w:id="33" w:name="_Toc19961_WPSOffice_Level2"/>
      <w:bookmarkStart w:id="34" w:name="_Toc9377_WPSOffice_Level2"/>
      <w:bookmarkStart w:id="35" w:name="_Toc1820_WPSOffice_Level2"/>
      <w:bookmarkEnd w:id="20"/>
      <w:bookmarkEnd w:id="21"/>
      <w:bookmarkEnd w:id="22"/>
      <w:bookmarkEnd w:id="23"/>
      <w:bookmarkEnd w:id="24"/>
      <w:bookmarkEnd w:id="25"/>
      <w:bookmarkEnd w:id="26"/>
      <w:bookmarkEnd w:id="27"/>
      <w:bookmarkEnd w:id="28"/>
      <w:bookmarkEnd w:id="29"/>
      <w:bookmarkEnd w:id="30"/>
      <w:bookmarkEnd w:id="31"/>
      <w:r>
        <w:rPr>
          <w:rFonts w:ascii="黑体" w:eastAsia="黑体" w:hAnsi="ˎ̥" w:hint="eastAsia"/>
          <w:sz w:val="32"/>
          <w:szCs w:val="32"/>
        </w:rPr>
        <w:t xml:space="preserve">第二部分  </w:t>
      </w:r>
      <w:r>
        <w:rPr>
          <w:rFonts w:ascii="黑体" w:eastAsia="黑体" w:hAnsi="ˎ̥"/>
          <w:sz w:val="32"/>
          <w:szCs w:val="32"/>
        </w:rPr>
        <w:t>2024</w:t>
      </w:r>
      <w:r>
        <w:rPr>
          <w:rFonts w:ascii="黑体" w:eastAsia="黑体" w:hAnsi="ˎ̥" w:hint="eastAsia"/>
          <w:sz w:val="32"/>
          <w:szCs w:val="32"/>
        </w:rPr>
        <w:t>年度部门决算公开报表</w:t>
      </w:r>
    </w:p>
    <w:p w:rsidR="00310B12" w:rsidRDefault="00310B12" w:rsidP="00310B12">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p>
    <w:p w:rsidR="00310B12" w:rsidRDefault="00310B12" w:rsidP="00310B12">
      <w:pPr>
        <w:spacing w:line="578" w:lineRule="exact"/>
        <w:ind w:firstLine="645"/>
        <w:rPr>
          <w:rFonts w:ascii="黑体" w:eastAsia="黑体" w:hAnsi="黑体" w:cs="黑体"/>
          <w:sz w:val="32"/>
          <w:szCs w:val="32"/>
        </w:rPr>
      </w:pPr>
      <w:bookmarkStart w:id="36" w:name="_Toc26621_WPSOffice_Level2"/>
      <w:bookmarkStart w:id="37" w:name="_Toc14349_WPSOffice_Level2"/>
      <w:bookmarkStart w:id="38" w:name="_Toc30334_WPSOffice_Level2"/>
      <w:bookmarkStart w:id="39" w:name="_Toc28622_WPSOffice_Level2"/>
      <w:bookmarkStart w:id="40" w:name="_Toc25608_WPSOffice_Level2"/>
      <w:bookmarkStart w:id="41" w:name="_Toc23139_WPSOffice_Level2"/>
      <w:r>
        <w:rPr>
          <w:rFonts w:ascii="黑体" w:eastAsia="黑体" w:hAnsi="黑体" w:cs="黑体" w:hint="eastAsia"/>
          <w:sz w:val="32"/>
          <w:szCs w:val="32"/>
        </w:rPr>
        <w:t>二、收入决算公开表</w:t>
      </w:r>
      <w:bookmarkStart w:id="42" w:name="_Toc17858_WPSOffice_Level2"/>
      <w:bookmarkStart w:id="43" w:name="_Toc5489_WPSOffice_Level2"/>
      <w:bookmarkStart w:id="44" w:name="_Toc3262_WPSOffice_Level2"/>
      <w:bookmarkStart w:id="45" w:name="_Toc17626_WPSOffice_Level2"/>
      <w:bookmarkStart w:id="46" w:name="_Toc13854_WPSOffice_Level2"/>
      <w:bookmarkStart w:id="47" w:name="_Toc14658_WPSOffice_Level2"/>
      <w:bookmarkEnd w:id="36"/>
      <w:bookmarkEnd w:id="37"/>
      <w:bookmarkEnd w:id="38"/>
      <w:bookmarkEnd w:id="39"/>
      <w:bookmarkEnd w:id="40"/>
      <w:bookmarkEnd w:id="41"/>
    </w:p>
    <w:p w:rsidR="00310B12" w:rsidRDefault="00310B12" w:rsidP="00310B12">
      <w:pPr>
        <w:spacing w:line="578" w:lineRule="exact"/>
        <w:ind w:firstLine="645"/>
        <w:rPr>
          <w:rFonts w:ascii="黑体" w:eastAsia="黑体" w:hAnsi="黑体" w:cs="黑体"/>
          <w:sz w:val="32"/>
          <w:szCs w:val="32"/>
        </w:rPr>
      </w:pPr>
      <w:r>
        <w:rPr>
          <w:rFonts w:ascii="黑体" w:eastAsia="黑体" w:hAnsi="黑体" w:cs="黑体" w:hint="eastAsia"/>
          <w:sz w:val="32"/>
          <w:szCs w:val="32"/>
        </w:rPr>
        <w:lastRenderedPageBreak/>
        <w:t>三、支出决算公开表</w:t>
      </w:r>
      <w:bookmarkStart w:id="48" w:name="_Toc23493_WPSOffice_Level2"/>
      <w:bookmarkStart w:id="49" w:name="_Toc13701_WPSOffice_Level2"/>
      <w:bookmarkStart w:id="50" w:name="_Toc21415_WPSOffice_Level2"/>
      <w:bookmarkStart w:id="51" w:name="_Toc4265_WPSOffice_Level2"/>
      <w:bookmarkStart w:id="52" w:name="_Toc7988_WPSOffice_Level2"/>
      <w:bookmarkStart w:id="53" w:name="_Toc23591_WPSOffice_Level2"/>
      <w:bookmarkEnd w:id="42"/>
      <w:bookmarkEnd w:id="43"/>
      <w:bookmarkEnd w:id="44"/>
      <w:bookmarkEnd w:id="45"/>
      <w:bookmarkEnd w:id="46"/>
      <w:bookmarkEnd w:id="47"/>
    </w:p>
    <w:p w:rsidR="00310B12" w:rsidRDefault="00310B12" w:rsidP="00310B12">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8"/>
      <w:bookmarkEnd w:id="49"/>
      <w:bookmarkEnd w:id="50"/>
      <w:bookmarkEnd w:id="51"/>
      <w:bookmarkEnd w:id="52"/>
      <w:bookmarkEnd w:id="53"/>
    </w:p>
    <w:p w:rsidR="00310B12" w:rsidRDefault="00310B12" w:rsidP="00310B12">
      <w:pPr>
        <w:spacing w:line="578" w:lineRule="exact"/>
        <w:ind w:firstLine="645"/>
        <w:rPr>
          <w:rFonts w:ascii="黑体" w:eastAsia="黑体" w:hAnsi="黑体" w:cs="黑体"/>
          <w:sz w:val="32"/>
          <w:szCs w:val="32"/>
        </w:rPr>
      </w:pPr>
      <w:bookmarkStart w:id="54" w:name="_Toc22783_WPSOffice_Level2"/>
      <w:bookmarkStart w:id="55" w:name="_Toc7879_WPSOffice_Level2"/>
      <w:bookmarkStart w:id="56" w:name="_Toc23829_WPSOffice_Level2"/>
      <w:bookmarkStart w:id="57" w:name="_Toc25166_WPSOffice_Level2"/>
      <w:bookmarkStart w:id="58" w:name="_Toc13516_WPSOffice_Level2"/>
      <w:bookmarkStart w:id="59" w:name="_Toc2158_WPSOffice_Level2"/>
      <w:r>
        <w:rPr>
          <w:rFonts w:ascii="黑体" w:eastAsia="黑体" w:hAnsi="黑体" w:cs="黑体" w:hint="eastAsia"/>
          <w:sz w:val="32"/>
          <w:szCs w:val="32"/>
        </w:rPr>
        <w:t>五、一般公共预算财政拨款收入支出决算</w:t>
      </w:r>
      <w:bookmarkEnd w:id="54"/>
      <w:bookmarkEnd w:id="55"/>
      <w:bookmarkEnd w:id="56"/>
      <w:bookmarkEnd w:id="57"/>
      <w:r>
        <w:rPr>
          <w:rFonts w:ascii="黑体" w:eastAsia="黑体" w:hAnsi="黑体" w:cs="黑体" w:hint="eastAsia"/>
          <w:sz w:val="32"/>
          <w:szCs w:val="32"/>
        </w:rPr>
        <w:t>公开表</w:t>
      </w:r>
      <w:bookmarkStart w:id="60" w:name="_Toc8373_WPSOffice_Level2"/>
      <w:bookmarkStart w:id="61" w:name="_Toc17833_WPSOffice_Level2"/>
      <w:bookmarkStart w:id="62" w:name="_Toc25362_WPSOffice_Level2"/>
      <w:bookmarkStart w:id="63" w:name="_Toc5343_WPSOffice_Level2"/>
      <w:bookmarkStart w:id="64" w:name="_Toc2632_WPSOffice_Level2"/>
      <w:bookmarkStart w:id="65" w:name="_Toc17283_WPSOffice_Level2"/>
      <w:bookmarkEnd w:id="58"/>
      <w:bookmarkEnd w:id="59"/>
    </w:p>
    <w:p w:rsidR="00310B12" w:rsidRDefault="00310B12" w:rsidP="00310B12">
      <w:pPr>
        <w:spacing w:line="578" w:lineRule="exact"/>
        <w:ind w:firstLine="645"/>
        <w:rPr>
          <w:rFonts w:ascii="黑体" w:eastAsia="黑体" w:hAnsi="黑体" w:cs="黑体"/>
          <w:sz w:val="32"/>
          <w:szCs w:val="32"/>
        </w:rPr>
      </w:pPr>
      <w:r>
        <w:rPr>
          <w:rFonts w:ascii="黑体" w:eastAsia="黑体" w:hAnsi="黑体" w:cs="黑体" w:hint="eastAsia"/>
          <w:sz w:val="32"/>
          <w:szCs w:val="32"/>
        </w:rPr>
        <w:t>六、一般公共预算财政拨款基本支出决算</w:t>
      </w:r>
      <w:bookmarkEnd w:id="60"/>
      <w:bookmarkEnd w:id="61"/>
      <w:bookmarkEnd w:id="62"/>
      <w:bookmarkEnd w:id="63"/>
      <w:bookmarkEnd w:id="64"/>
      <w:bookmarkEnd w:id="65"/>
      <w:r>
        <w:rPr>
          <w:rFonts w:ascii="黑体" w:eastAsia="黑体" w:hAnsi="黑体" w:cs="黑体" w:hint="eastAsia"/>
          <w:sz w:val="32"/>
          <w:szCs w:val="32"/>
        </w:rPr>
        <w:t>公开表</w:t>
      </w:r>
    </w:p>
    <w:p w:rsidR="00310B12" w:rsidRDefault="00310B12" w:rsidP="00310B12">
      <w:pPr>
        <w:spacing w:line="578" w:lineRule="exact"/>
        <w:ind w:leftChars="304" w:left="1118" w:hangingChars="150" w:hanging="480"/>
        <w:rPr>
          <w:rFonts w:ascii="黑体" w:eastAsia="黑体" w:hAnsi="黑体" w:cs="黑体"/>
          <w:sz w:val="32"/>
          <w:szCs w:val="32"/>
        </w:rPr>
      </w:pPr>
      <w:bookmarkStart w:id="66" w:name="_Toc1533_WPSOffice_Level2"/>
      <w:bookmarkStart w:id="67" w:name="_Toc6020_WPSOffice_Level2"/>
      <w:bookmarkStart w:id="68" w:name="_Toc13345_WPSOffice_Level2"/>
      <w:bookmarkStart w:id="69" w:name="_Toc5594_WPSOffice_Level2"/>
      <w:bookmarkStart w:id="70" w:name="_Toc21310_WPSOffice_Level2"/>
      <w:bookmarkStart w:id="71" w:name="_Toc11799_WPSOffice_Level2"/>
      <w:r>
        <w:rPr>
          <w:rFonts w:ascii="黑体" w:eastAsia="黑体" w:hAnsi="黑体" w:cs="黑体" w:hint="eastAsia"/>
          <w:sz w:val="32"/>
          <w:szCs w:val="32"/>
        </w:rPr>
        <w:t>七、政府性基金预算财政拨款收入支出决算</w:t>
      </w:r>
      <w:bookmarkEnd w:id="66"/>
      <w:bookmarkEnd w:id="67"/>
      <w:bookmarkEnd w:id="68"/>
      <w:bookmarkEnd w:id="69"/>
      <w:bookmarkEnd w:id="70"/>
      <w:bookmarkEnd w:id="71"/>
      <w:r>
        <w:rPr>
          <w:rFonts w:ascii="黑体" w:eastAsia="黑体" w:hAnsi="黑体" w:cs="黑体" w:hint="eastAsia"/>
          <w:sz w:val="32"/>
          <w:szCs w:val="32"/>
        </w:rPr>
        <w:t>公开表</w:t>
      </w:r>
    </w:p>
    <w:p w:rsidR="00310B12" w:rsidRDefault="00310B12" w:rsidP="00310B12">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310B12" w:rsidRDefault="00310B12" w:rsidP="00310B12">
      <w:pPr>
        <w:spacing w:line="578" w:lineRule="exact"/>
        <w:ind w:firstLine="640"/>
        <w:rPr>
          <w:rFonts w:ascii="黑体" w:eastAsia="黑体" w:hAnsi="黑体" w:cs="黑体"/>
          <w:sz w:val="32"/>
          <w:szCs w:val="32"/>
        </w:rPr>
      </w:pPr>
      <w:r>
        <w:rPr>
          <w:rFonts w:ascii="黑体" w:eastAsia="黑体" w:hAnsi="黑体" w:cs="黑体" w:hint="eastAsia"/>
          <w:sz w:val="32"/>
          <w:szCs w:val="32"/>
        </w:rPr>
        <w:t>九、财政拨款“三公”经费支出决算公开表</w:t>
      </w:r>
    </w:p>
    <w:p w:rsidR="00920BEE" w:rsidRDefault="00604561" w:rsidP="00604561">
      <w:pPr>
        <w:spacing w:line="578" w:lineRule="exact"/>
        <w:rPr>
          <w:rFonts w:ascii="黑体" w:eastAsia="黑体" w:hAnsi="黑体" w:cs="黑体"/>
          <w:sz w:val="32"/>
          <w:szCs w:val="32"/>
        </w:rPr>
      </w:pPr>
      <w:r>
        <w:rPr>
          <w:rFonts w:ascii="黑体" w:eastAsia="黑体" w:hAnsi="黑体" w:cs="黑体" w:hint="eastAsia"/>
          <w:sz w:val="32"/>
          <w:szCs w:val="32"/>
        </w:rPr>
        <w:t xml:space="preserve">    九、财政拨款“三公”经费支出决算</w:t>
      </w:r>
      <w:bookmarkEnd w:id="32"/>
      <w:bookmarkEnd w:id="33"/>
      <w:bookmarkEnd w:id="34"/>
      <w:bookmarkEnd w:id="35"/>
      <w:r w:rsidR="00DA3F19">
        <w:rPr>
          <w:rFonts w:ascii="黑体" w:eastAsia="黑体" w:hAnsi="黑体" w:cs="黑体" w:hint="eastAsia"/>
          <w:sz w:val="32"/>
          <w:szCs w:val="32"/>
        </w:rPr>
        <w:t>公开表</w:t>
      </w:r>
    </w:p>
    <w:tbl>
      <w:tblPr>
        <w:tblW w:w="22529" w:type="dxa"/>
        <w:tblInd w:w="108" w:type="dxa"/>
        <w:tblLayout w:type="fixed"/>
        <w:tblLook w:val="04A0"/>
      </w:tblPr>
      <w:tblGrid>
        <w:gridCol w:w="520"/>
        <w:gridCol w:w="566"/>
        <w:gridCol w:w="455"/>
        <w:gridCol w:w="1420"/>
        <w:gridCol w:w="1180"/>
        <w:gridCol w:w="1180"/>
        <w:gridCol w:w="236"/>
        <w:gridCol w:w="2124"/>
        <w:gridCol w:w="1180"/>
        <w:gridCol w:w="1180"/>
        <w:gridCol w:w="1180"/>
        <w:gridCol w:w="1180"/>
        <w:gridCol w:w="1180"/>
        <w:gridCol w:w="1259"/>
        <w:gridCol w:w="1259"/>
        <w:gridCol w:w="1259"/>
        <w:gridCol w:w="1260"/>
        <w:gridCol w:w="1260"/>
        <w:gridCol w:w="1210"/>
        <w:gridCol w:w="50"/>
        <w:gridCol w:w="1341"/>
        <w:gridCol w:w="50"/>
      </w:tblGrid>
      <w:tr w:rsidR="00604561" w:rsidRPr="002560CC" w:rsidTr="002560CC">
        <w:trPr>
          <w:gridAfter w:val="1"/>
          <w:wAfter w:w="50" w:type="dxa"/>
          <w:trHeight w:val="408"/>
        </w:trPr>
        <w:tc>
          <w:tcPr>
            <w:tcW w:w="21088" w:type="dxa"/>
            <w:gridSpan w:val="19"/>
            <w:tcBorders>
              <w:top w:val="nil"/>
              <w:left w:val="nil"/>
              <w:bottom w:val="nil"/>
              <w:right w:val="nil"/>
            </w:tcBorders>
            <w:shd w:val="clear" w:color="auto" w:fill="auto"/>
            <w:noWrap/>
            <w:vAlign w:val="bottom"/>
          </w:tcPr>
          <w:p w:rsidR="00604561" w:rsidRPr="002560CC" w:rsidRDefault="00604561" w:rsidP="00604561">
            <w:pPr>
              <w:widowControl/>
              <w:jc w:val="center"/>
              <w:textAlignment w:val="bottom"/>
              <w:rPr>
                <w:rFonts w:ascii="黑体" w:eastAsia="黑体" w:hAnsi="宋体" w:cs="黑体"/>
                <w:color w:val="000000"/>
                <w:sz w:val="7"/>
                <w:szCs w:val="32"/>
              </w:rPr>
            </w:pPr>
          </w:p>
        </w:tc>
        <w:tc>
          <w:tcPr>
            <w:tcW w:w="1391" w:type="dxa"/>
            <w:gridSpan w:val="2"/>
            <w:tcBorders>
              <w:top w:val="nil"/>
              <w:left w:val="nil"/>
              <w:bottom w:val="nil"/>
              <w:right w:val="nil"/>
            </w:tcBorders>
            <w:shd w:val="clear" w:color="auto" w:fill="auto"/>
            <w:noWrap/>
            <w:vAlign w:val="bottom"/>
          </w:tcPr>
          <w:p w:rsidR="00604561" w:rsidRPr="002560CC" w:rsidRDefault="00604561" w:rsidP="00604561">
            <w:pPr>
              <w:rPr>
                <w:rFonts w:ascii="宋体" w:hAnsi="宋体" w:cs="宋体"/>
                <w:color w:val="000000"/>
                <w:sz w:val="7"/>
              </w:rPr>
            </w:pPr>
          </w:p>
        </w:tc>
      </w:tr>
      <w:tr w:rsidR="00604561" w:rsidRPr="002560CC" w:rsidTr="002560CC">
        <w:trPr>
          <w:trHeight w:val="276"/>
        </w:trPr>
        <w:tc>
          <w:tcPr>
            <w:tcW w:w="52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566"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455"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42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236"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2124"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18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59"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59"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59"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6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60" w:type="dxa"/>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260" w:type="dxa"/>
            <w:gridSpan w:val="2"/>
            <w:tcBorders>
              <w:top w:val="nil"/>
              <w:left w:val="nil"/>
              <w:bottom w:val="nil"/>
              <w:right w:val="nil"/>
            </w:tcBorders>
            <w:shd w:val="clear" w:color="auto" w:fill="auto"/>
            <w:noWrap/>
            <w:vAlign w:val="bottom"/>
          </w:tcPr>
          <w:p w:rsidR="00604561" w:rsidRPr="002560CC" w:rsidRDefault="00604561" w:rsidP="00604561">
            <w:pPr>
              <w:rPr>
                <w:rFonts w:eastAsiaTheme="minorEastAsia"/>
                <w:color w:val="000000"/>
                <w:sz w:val="7"/>
                <w:szCs w:val="11"/>
              </w:rPr>
            </w:pPr>
          </w:p>
        </w:tc>
        <w:tc>
          <w:tcPr>
            <w:tcW w:w="1391" w:type="dxa"/>
            <w:gridSpan w:val="2"/>
            <w:tcBorders>
              <w:top w:val="nil"/>
              <w:left w:val="nil"/>
              <w:bottom w:val="nil"/>
              <w:right w:val="nil"/>
            </w:tcBorders>
            <w:shd w:val="clear" w:color="auto" w:fill="auto"/>
            <w:noWrap/>
            <w:vAlign w:val="bottom"/>
          </w:tcPr>
          <w:p w:rsidR="00604561" w:rsidRPr="002560CC" w:rsidRDefault="00604561" w:rsidP="00604561">
            <w:pPr>
              <w:widowControl/>
              <w:jc w:val="right"/>
              <w:textAlignment w:val="bottom"/>
              <w:rPr>
                <w:rFonts w:eastAsiaTheme="minorEastAsia"/>
                <w:color w:val="000000"/>
                <w:sz w:val="7"/>
                <w:szCs w:val="11"/>
              </w:rPr>
            </w:pPr>
            <w:r w:rsidRPr="002560CC">
              <w:rPr>
                <w:rFonts w:eastAsiaTheme="minorEastAsia" w:hAnsiTheme="minorEastAsia"/>
                <w:color w:val="000000"/>
                <w:kern w:val="0"/>
                <w:sz w:val="7"/>
                <w:szCs w:val="11"/>
              </w:rPr>
              <w:t>财决</w:t>
            </w:r>
            <w:r w:rsidRPr="002560CC">
              <w:rPr>
                <w:rFonts w:eastAsiaTheme="minorEastAsia"/>
                <w:color w:val="000000"/>
                <w:kern w:val="0"/>
                <w:sz w:val="7"/>
                <w:szCs w:val="11"/>
              </w:rPr>
              <w:t>06</w:t>
            </w:r>
            <w:r w:rsidRPr="002560CC">
              <w:rPr>
                <w:rFonts w:eastAsiaTheme="minorEastAsia" w:hAnsiTheme="minorEastAsia"/>
                <w:color w:val="000000"/>
                <w:kern w:val="0"/>
                <w:sz w:val="7"/>
                <w:szCs w:val="11"/>
              </w:rPr>
              <w:t>表</w:t>
            </w:r>
          </w:p>
        </w:tc>
      </w:tr>
    </w:tbl>
    <w:p w:rsidR="00920BEE" w:rsidRDefault="00DA3F19" w:rsidP="002560CC">
      <w:pPr>
        <w:spacing w:line="578" w:lineRule="exact"/>
        <w:rPr>
          <w:rFonts w:ascii="仿宋" w:eastAsia="仿宋" w:hAnsi="仿宋" w:cs="仿宋"/>
          <w:sz w:val="32"/>
          <w:szCs w:val="32"/>
        </w:rPr>
      </w:pPr>
      <w:r>
        <w:rPr>
          <w:rFonts w:ascii="仿宋" w:eastAsia="仿宋" w:hAnsi="仿宋" w:cs="仿宋" w:hint="eastAsia"/>
          <w:sz w:val="32"/>
          <w:szCs w:val="32"/>
        </w:rPr>
        <w:t xml:space="preserve">以上报表见附件1。   </w:t>
      </w:r>
    </w:p>
    <w:p w:rsidR="00920BEE" w:rsidRDefault="00DA3F19">
      <w:pPr>
        <w:spacing w:line="578" w:lineRule="exact"/>
        <w:jc w:val="center"/>
        <w:rPr>
          <w:rFonts w:ascii="黑体" w:eastAsia="黑体" w:hAnsi="ˎ̥"/>
          <w:sz w:val="32"/>
          <w:szCs w:val="32"/>
        </w:rPr>
      </w:pPr>
      <w:bookmarkStart w:id="72" w:name="_Toc28629_WPSOffice_Level1"/>
      <w:bookmarkStart w:id="73" w:name="_Toc31264_WPSOffice_Level1"/>
      <w:bookmarkStart w:id="74" w:name="_Toc4402_WPSOffice_Level1"/>
      <w:bookmarkStart w:id="75" w:name="_Toc29683_WPSOffice_Level1"/>
      <w:bookmarkStart w:id="76" w:name="_Toc27590_WPSOffice_Level1"/>
      <w:bookmarkStart w:id="77" w:name="_Toc16686_WPSOffice_Level1"/>
      <w:r>
        <w:rPr>
          <w:rFonts w:ascii="黑体" w:eastAsia="黑体" w:hAnsi="ˎ̥" w:hint="eastAsia"/>
          <w:sz w:val="32"/>
          <w:szCs w:val="32"/>
        </w:rPr>
        <w:t xml:space="preserve">第三部分  </w:t>
      </w:r>
      <w:r>
        <w:rPr>
          <w:rFonts w:ascii="黑体" w:eastAsia="黑体" w:hAnsi="ˎ̥"/>
          <w:sz w:val="32"/>
          <w:szCs w:val="32"/>
        </w:rPr>
        <w:t>2024</w:t>
      </w:r>
      <w:r>
        <w:rPr>
          <w:rFonts w:ascii="黑体" w:eastAsia="黑体" w:hAnsi="ˎ̥" w:hint="eastAsia"/>
          <w:sz w:val="32"/>
          <w:szCs w:val="32"/>
        </w:rPr>
        <w:t>年度部门决算情况说明</w:t>
      </w:r>
      <w:bookmarkEnd w:id="72"/>
      <w:bookmarkEnd w:id="73"/>
      <w:bookmarkEnd w:id="74"/>
      <w:bookmarkEnd w:id="75"/>
      <w:bookmarkEnd w:id="76"/>
      <w:bookmarkEnd w:id="77"/>
    </w:p>
    <w:p w:rsidR="00920BEE" w:rsidRDefault="00920BEE">
      <w:pPr>
        <w:spacing w:line="578" w:lineRule="exact"/>
        <w:jc w:val="center"/>
        <w:rPr>
          <w:rFonts w:ascii="黑体" w:eastAsia="黑体" w:hAnsi="ˎ̥"/>
          <w:sz w:val="32"/>
          <w:szCs w:val="32"/>
        </w:rPr>
      </w:pPr>
    </w:p>
    <w:p w:rsidR="00920BEE" w:rsidRDefault="00DA3F19">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一、收入支出总体情况说明</w:t>
      </w:r>
      <w:r>
        <w:rPr>
          <w:rFonts w:ascii="黑体" w:eastAsia="黑体" w:hAnsi="黑体" w:cs="黑体" w:hint="eastAsia"/>
          <w:bCs/>
          <w:sz w:val="32"/>
          <w:szCs w:val="32"/>
        </w:rPr>
        <w:br/>
      </w:r>
      <w:r>
        <w:rPr>
          <w:rFonts w:ascii="仿宋_GB2312" w:eastAsia="仿宋_GB2312" w:hAnsi="ˎ̥"/>
          <w:sz w:val="32"/>
          <w:szCs w:val="32"/>
        </w:rPr>
        <w:t>2024</w:t>
      </w:r>
      <w:r>
        <w:rPr>
          <w:rFonts w:ascii="仿宋_GB2312" w:eastAsia="仿宋_GB2312" w:hAnsi="ˎ̥" w:hint="eastAsia"/>
          <w:sz w:val="32"/>
          <w:szCs w:val="32"/>
        </w:rPr>
        <w:t>年度收入总计</w:t>
      </w:r>
      <w:r>
        <w:rPr>
          <w:rFonts w:ascii="仿宋_GB2312" w:eastAsia="仿宋_GB2312" w:hAnsi="ˎ̥"/>
          <w:color w:val="FF0000"/>
          <w:sz w:val="32"/>
          <w:szCs w:val="32"/>
        </w:rPr>
        <w:t>1,021.27</w:t>
      </w:r>
      <w:r>
        <w:rPr>
          <w:rFonts w:ascii="仿宋_GB2312" w:eastAsia="仿宋_GB2312" w:hAnsi="ˎ̥" w:hint="eastAsia"/>
          <w:sz w:val="32"/>
          <w:szCs w:val="32"/>
        </w:rPr>
        <w:t>万元，支出总计</w:t>
      </w:r>
      <w:r>
        <w:rPr>
          <w:rFonts w:ascii="仿宋_GB2312" w:eastAsia="仿宋_GB2312" w:hAnsi="ˎ̥"/>
          <w:color w:val="FF0000"/>
          <w:sz w:val="32"/>
          <w:szCs w:val="32"/>
        </w:rPr>
        <w:t>1,021.27</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年度相比，收入、支出总计各增加</w:t>
      </w:r>
      <w:r w:rsidR="00452A76">
        <w:rPr>
          <w:rFonts w:ascii="仿宋_GB2312" w:eastAsia="仿宋_GB2312" w:hAnsi="ˎ̥" w:hint="eastAsia"/>
          <w:color w:val="FF0000"/>
          <w:sz w:val="32"/>
          <w:szCs w:val="32"/>
        </w:rPr>
        <w:t>155.57</w:t>
      </w:r>
      <w:r>
        <w:rPr>
          <w:rFonts w:ascii="仿宋_GB2312" w:eastAsia="仿宋_GB2312" w:hAnsi="ˎ̥" w:hint="eastAsia"/>
          <w:sz w:val="32"/>
          <w:szCs w:val="32"/>
        </w:rPr>
        <w:t>万元，增长</w:t>
      </w:r>
      <w:r w:rsidR="00452A76">
        <w:rPr>
          <w:rFonts w:ascii="仿宋_GB2312" w:eastAsia="仿宋_GB2312" w:hAnsi="ˎ̥" w:hint="eastAsia"/>
          <w:color w:val="FF0000"/>
          <w:sz w:val="32"/>
          <w:szCs w:val="32"/>
        </w:rPr>
        <w:t>18</w:t>
      </w:r>
      <w:r>
        <w:rPr>
          <w:rFonts w:ascii="仿宋_GB2312" w:eastAsia="仿宋_GB2312" w:hAnsi="ˎ̥" w:hint="eastAsia"/>
          <w:sz w:val="32"/>
          <w:szCs w:val="32"/>
        </w:rPr>
        <w:t>%。主要原因：一是</w:t>
      </w:r>
      <w:r w:rsidR="00452A76">
        <w:rPr>
          <w:rFonts w:ascii="仿宋_GB2312" w:eastAsia="仿宋_GB2312" w:hAnsi="ˎ̥" w:hint="eastAsia"/>
          <w:sz w:val="32"/>
          <w:szCs w:val="32"/>
        </w:rPr>
        <w:t>业务培训以及案件量的</w:t>
      </w:r>
      <w:r w:rsidR="009E4DA8">
        <w:rPr>
          <w:rFonts w:ascii="仿宋_GB2312" w:eastAsia="仿宋_GB2312" w:hAnsi="ˎ̥" w:hint="eastAsia"/>
          <w:sz w:val="32"/>
          <w:szCs w:val="32"/>
        </w:rPr>
        <w:t>增多</w:t>
      </w:r>
      <w:r>
        <w:rPr>
          <w:rFonts w:ascii="仿宋_GB2312" w:eastAsia="仿宋_GB2312" w:hAnsi="ˎ̥" w:hint="eastAsia"/>
          <w:sz w:val="32"/>
          <w:szCs w:val="32"/>
        </w:rPr>
        <w:t>；二是</w:t>
      </w:r>
      <w:r w:rsidR="009E4DA8">
        <w:rPr>
          <w:rFonts w:ascii="仿宋_GB2312" w:eastAsia="仿宋_GB2312" w:hAnsi="ˎ̥" w:hint="eastAsia"/>
          <w:sz w:val="32"/>
          <w:szCs w:val="32"/>
        </w:rPr>
        <w:t>日</w:t>
      </w:r>
      <w:r w:rsidR="009E4DA8">
        <w:rPr>
          <w:rFonts w:ascii="仿宋_GB2312" w:eastAsia="仿宋_GB2312" w:hAnsi="ˎ̥" w:hint="eastAsia"/>
          <w:sz w:val="32"/>
          <w:szCs w:val="32"/>
        </w:rPr>
        <w:lastRenderedPageBreak/>
        <w:t>日常办公维修</w:t>
      </w:r>
      <w:r w:rsidR="005509F1">
        <w:rPr>
          <w:rFonts w:ascii="仿宋_GB2312" w:eastAsia="仿宋_GB2312" w:hAnsi="ˎ̥" w:hint="eastAsia"/>
          <w:sz w:val="32"/>
          <w:szCs w:val="32"/>
        </w:rPr>
        <w:t>维护</w:t>
      </w:r>
      <w:r w:rsidR="009E4DA8">
        <w:rPr>
          <w:rFonts w:ascii="仿宋_GB2312" w:eastAsia="仿宋_GB2312" w:hAnsi="ˎ̥" w:hint="eastAsia"/>
          <w:sz w:val="32"/>
          <w:szCs w:val="32"/>
        </w:rPr>
        <w:t>等。</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sz w:val="32"/>
          <w:szCs w:val="32"/>
        </w:rPr>
        <w:t>）</w:t>
      </w:r>
      <w:r>
        <w:rPr>
          <w:rFonts w:ascii="楷体" w:eastAsia="楷体" w:hAnsi="楷体" w:cs="楷体" w:hint="eastAsia"/>
          <w:sz w:val="32"/>
          <w:szCs w:val="32"/>
        </w:rPr>
        <w:t>收入</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w:t>
      </w:r>
      <w:r>
        <w:rPr>
          <w:rFonts w:ascii="仿宋_GB2312" w:eastAsia="仿宋_GB2312" w:hAnsi="ˎ̥"/>
          <w:sz w:val="32"/>
          <w:szCs w:val="32"/>
        </w:rPr>
        <w:t>收入</w:t>
      </w:r>
      <w:r>
        <w:rPr>
          <w:rFonts w:ascii="仿宋_GB2312" w:eastAsia="仿宋_GB2312" w:hAnsi="ˎ̥"/>
          <w:color w:val="FF0000"/>
          <w:sz w:val="32"/>
          <w:szCs w:val="32"/>
        </w:rPr>
        <w:t>1,021.27</w:t>
      </w:r>
      <w:r>
        <w:rPr>
          <w:rFonts w:ascii="仿宋_GB2312" w:eastAsia="仿宋_GB2312" w:hAnsi="ˎ̥" w:hint="eastAsia"/>
          <w:sz w:val="32"/>
          <w:szCs w:val="32"/>
        </w:rPr>
        <w:t>万元。</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使用非财政拨款结余</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sz w:val="32"/>
          <w:szCs w:val="32"/>
        </w:rPr>
        <w:t>）</w:t>
      </w:r>
      <w:r>
        <w:rPr>
          <w:rFonts w:ascii="楷体" w:eastAsia="楷体" w:hAnsi="楷体" w:cs="楷体" w:hint="eastAsia"/>
          <w:sz w:val="32"/>
          <w:szCs w:val="32"/>
        </w:rPr>
        <w:t>支出</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color w:val="FF0000"/>
          <w:sz w:val="32"/>
          <w:szCs w:val="32"/>
        </w:rPr>
        <w:t>1,008.27</w:t>
      </w:r>
      <w:r>
        <w:rPr>
          <w:rFonts w:ascii="仿宋_GB2312" w:eastAsia="仿宋_GB2312" w:hAnsi="ˎ̥" w:hint="eastAsia"/>
          <w:sz w:val="32"/>
          <w:szCs w:val="32"/>
        </w:rPr>
        <w:t>万元。</w:t>
      </w:r>
    </w:p>
    <w:p w:rsidR="009E4DA8"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结余分配</w:t>
      </w:r>
      <w:r>
        <w:rPr>
          <w:rFonts w:ascii="仿宋_GB2312" w:eastAsia="仿宋_GB2312" w:hAnsi="ˎ̥"/>
          <w:color w:val="FF0000"/>
          <w:sz w:val="32"/>
          <w:szCs w:val="32"/>
        </w:rPr>
        <w:t>0.00</w:t>
      </w:r>
      <w:r>
        <w:rPr>
          <w:rFonts w:ascii="仿宋_GB2312" w:eastAsia="仿宋_GB2312" w:hAnsi="ˎ̥" w:hint="eastAsia"/>
          <w:sz w:val="32"/>
          <w:szCs w:val="32"/>
        </w:rPr>
        <w:t>万元</w:t>
      </w:r>
      <w:r w:rsidR="009E4DA8">
        <w:rPr>
          <w:rFonts w:ascii="仿宋_GB2312" w:eastAsia="仿宋_GB2312" w:hAnsi="ˎ̥" w:hint="eastAsia"/>
          <w:sz w:val="32"/>
          <w:szCs w:val="32"/>
        </w:rPr>
        <w:t>。</w:t>
      </w:r>
      <w:r>
        <w:rPr>
          <w:rFonts w:ascii="仿宋_GB2312" w:eastAsia="仿宋_GB2312" w:hAnsi="ˎ̥" w:hint="eastAsia"/>
          <w:sz w:val="32"/>
          <w:szCs w:val="32"/>
        </w:rPr>
        <w:t>年</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末结转结余</w:t>
      </w:r>
      <w:r>
        <w:rPr>
          <w:rFonts w:ascii="仿宋_GB2312" w:eastAsia="仿宋_GB2312" w:hAnsi="ˎ̥"/>
          <w:color w:val="FF0000"/>
          <w:sz w:val="32"/>
          <w:szCs w:val="32"/>
        </w:rPr>
        <w:t>13.00</w:t>
      </w:r>
      <w:r>
        <w:rPr>
          <w:rFonts w:ascii="仿宋_GB2312" w:eastAsia="仿宋_GB2312" w:hAnsi="ˎ̥" w:hint="eastAsia"/>
          <w:sz w:val="32"/>
          <w:szCs w:val="32"/>
        </w:rPr>
        <w:t>万元</w:t>
      </w:r>
      <w:r w:rsidR="009E4DA8">
        <w:rPr>
          <w:rFonts w:ascii="仿宋_GB2312" w:eastAsia="仿宋_GB2312" w:hAnsi="ˎ̥" w:hint="eastAsia"/>
          <w:sz w:val="32"/>
          <w:szCs w:val="32"/>
        </w:rPr>
        <w:t>。</w:t>
      </w:r>
      <w:r w:rsidR="009E4DA8">
        <w:rPr>
          <w:rFonts w:ascii="仿宋_GB2312" w:eastAsia="仿宋_GB2312" w:hAnsi="ˎ̥"/>
          <w:sz w:val="32"/>
          <w:szCs w:val="32"/>
        </w:rPr>
        <w:t xml:space="preserve"> </w:t>
      </w:r>
    </w:p>
    <w:p w:rsidR="00920BEE" w:rsidRDefault="00DA3F19">
      <w:pPr>
        <w:spacing w:line="578" w:lineRule="exact"/>
        <w:rPr>
          <w:rFonts w:ascii="仿宋_GB2312" w:eastAsia="仿宋_GB2312" w:hAnsi="ˎ̥"/>
          <w:sz w:val="32"/>
          <w:szCs w:val="32"/>
        </w:rPr>
      </w:pPr>
      <w:r>
        <w:rPr>
          <w:rFonts w:ascii="仿宋_GB2312" w:eastAsia="仿宋_GB2312" w:hAnsi="ˎ̥" w:hint="eastAsia"/>
          <w:sz w:val="32"/>
          <w:szCs w:val="32"/>
        </w:rPr>
        <w:t xml:space="preserve">   </w:t>
      </w:r>
    </w:p>
    <w:p w:rsidR="00920BEE" w:rsidRDefault="00DA3F19">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w:t>
      </w:r>
      <w:r>
        <w:rPr>
          <w:rFonts w:ascii="仿宋_GB2312" w:eastAsia="仿宋_GB2312" w:hAnsi="ˎ̥"/>
          <w:color w:val="FF0000"/>
          <w:sz w:val="32"/>
          <w:szCs w:val="32"/>
        </w:rPr>
        <w:t>1,021.27</w:t>
      </w:r>
      <w:r>
        <w:rPr>
          <w:rFonts w:ascii="仿宋_GB2312" w:eastAsia="仿宋_GB2312" w:hAnsi="ˎ̥" w:hint="eastAsia"/>
          <w:sz w:val="32"/>
          <w:szCs w:val="32"/>
        </w:rPr>
        <w:t>万元，其中：财政拨款收入</w:t>
      </w:r>
      <w:r>
        <w:rPr>
          <w:rFonts w:ascii="仿宋_GB2312" w:eastAsia="仿宋_GB2312" w:hAnsi="ˎ̥"/>
          <w:color w:val="FF0000"/>
          <w:sz w:val="32"/>
          <w:szCs w:val="32"/>
        </w:rPr>
        <w:t>1,008.27</w:t>
      </w:r>
      <w:r>
        <w:rPr>
          <w:rFonts w:ascii="仿宋_GB2312" w:eastAsia="仿宋_GB2312" w:hAnsi="ˎ̥" w:hint="eastAsia"/>
          <w:sz w:val="32"/>
          <w:szCs w:val="32"/>
        </w:rPr>
        <w:t>万元，占</w:t>
      </w:r>
      <w:r w:rsidR="009E4DA8">
        <w:rPr>
          <w:rFonts w:ascii="仿宋_GB2312" w:eastAsia="仿宋_GB2312" w:hAnsi="ˎ̥" w:hint="eastAsia"/>
          <w:color w:val="FF0000"/>
          <w:sz w:val="32"/>
          <w:szCs w:val="32"/>
        </w:rPr>
        <w:t>98.7</w:t>
      </w:r>
      <w:r>
        <w:rPr>
          <w:rFonts w:ascii="仿宋_GB2312" w:eastAsia="仿宋_GB2312" w:hAnsi="ˎ̥" w:hint="eastAsia"/>
          <w:sz w:val="32"/>
          <w:szCs w:val="32"/>
        </w:rPr>
        <w:t>%；上级补助收入</w:t>
      </w:r>
      <w:r>
        <w:rPr>
          <w:rFonts w:ascii="仿宋_GB2312" w:eastAsia="仿宋_GB2312" w:hAnsi="ˎ̥"/>
          <w:color w:val="FF0000"/>
          <w:sz w:val="32"/>
          <w:szCs w:val="32"/>
        </w:rPr>
        <w:t>0.00</w:t>
      </w:r>
      <w:r>
        <w:rPr>
          <w:rFonts w:ascii="仿宋_GB2312" w:eastAsia="仿宋_GB2312" w:hAnsi="ˎ̥" w:hint="eastAsia"/>
          <w:sz w:val="32"/>
          <w:szCs w:val="32"/>
        </w:rPr>
        <w:t>万元；事业收入</w:t>
      </w:r>
      <w:r>
        <w:rPr>
          <w:rFonts w:ascii="仿宋_GB2312" w:eastAsia="仿宋_GB2312" w:hAnsi="ˎ̥"/>
          <w:color w:val="FF0000"/>
          <w:sz w:val="32"/>
          <w:szCs w:val="32"/>
        </w:rPr>
        <w:t>0.00</w:t>
      </w:r>
      <w:r>
        <w:rPr>
          <w:rFonts w:ascii="仿宋_GB2312" w:eastAsia="仿宋_GB2312" w:hAnsi="ˎ̥" w:hint="eastAsia"/>
          <w:sz w:val="32"/>
          <w:szCs w:val="32"/>
        </w:rPr>
        <w:t>万元；经营收入</w:t>
      </w:r>
      <w:r>
        <w:rPr>
          <w:rFonts w:ascii="仿宋_GB2312" w:eastAsia="仿宋_GB2312" w:hAnsi="ˎ̥"/>
          <w:color w:val="FF0000"/>
          <w:sz w:val="32"/>
          <w:szCs w:val="32"/>
        </w:rPr>
        <w:t>0.00</w:t>
      </w:r>
      <w:r>
        <w:rPr>
          <w:rFonts w:ascii="仿宋_GB2312" w:eastAsia="仿宋_GB2312" w:hAnsi="ˎ̥" w:hint="eastAsia"/>
          <w:sz w:val="32"/>
          <w:szCs w:val="32"/>
        </w:rPr>
        <w:t>万元；附属单位上缴收入</w:t>
      </w:r>
      <w:r>
        <w:rPr>
          <w:rFonts w:ascii="仿宋_GB2312" w:eastAsia="仿宋_GB2312" w:hAnsi="ˎ̥"/>
          <w:color w:val="FF0000"/>
          <w:sz w:val="32"/>
          <w:szCs w:val="32"/>
        </w:rPr>
        <w:t>0.00</w:t>
      </w:r>
      <w:r>
        <w:rPr>
          <w:rFonts w:ascii="仿宋_GB2312" w:eastAsia="仿宋_GB2312" w:hAnsi="ˎ̥" w:hint="eastAsia"/>
          <w:sz w:val="32"/>
          <w:szCs w:val="32"/>
        </w:rPr>
        <w:t>万元；其他收入</w:t>
      </w:r>
      <w:r>
        <w:rPr>
          <w:rFonts w:ascii="仿宋_GB2312" w:eastAsia="仿宋_GB2312" w:hAnsi="ˎ̥"/>
          <w:color w:val="FF0000"/>
          <w:sz w:val="32"/>
          <w:szCs w:val="32"/>
        </w:rPr>
        <w:t>13.00</w:t>
      </w:r>
      <w:r>
        <w:rPr>
          <w:rFonts w:ascii="仿宋_GB2312" w:eastAsia="仿宋_GB2312" w:hAnsi="ˎ̥" w:hint="eastAsia"/>
          <w:sz w:val="32"/>
          <w:szCs w:val="32"/>
        </w:rPr>
        <w:t>万元，占</w:t>
      </w:r>
      <w:r w:rsidR="00A90DC8">
        <w:rPr>
          <w:rFonts w:ascii="仿宋_GB2312" w:eastAsia="仿宋_GB2312" w:hAnsi="ˎ̥" w:hint="eastAsia"/>
          <w:color w:val="FF0000"/>
          <w:sz w:val="32"/>
          <w:szCs w:val="32"/>
        </w:rPr>
        <w:t>1.3</w:t>
      </w:r>
      <w:r>
        <w:rPr>
          <w:rFonts w:ascii="仿宋_GB2312" w:eastAsia="仿宋_GB2312" w:hAnsi="ˎ̥" w:hint="eastAsia"/>
          <w:sz w:val="32"/>
          <w:szCs w:val="32"/>
        </w:rPr>
        <w:t>%。</w:t>
      </w:r>
    </w:p>
    <w:p w:rsidR="00920BEE" w:rsidRDefault="00DA3F19">
      <w:pPr>
        <w:spacing w:line="578" w:lineRule="exact"/>
        <w:ind w:leftChars="196" w:left="412"/>
        <w:rPr>
          <w:rFonts w:ascii="仿宋_GB2312" w:eastAsia="仿宋_GB2312" w:hAnsi="ˎ̥"/>
          <w:sz w:val="32"/>
          <w:szCs w:val="32"/>
        </w:rPr>
      </w:pPr>
      <w:r>
        <w:rPr>
          <w:rFonts w:ascii="仿宋_GB2312" w:eastAsia="仿宋_GB2312" w:hAnsi="ˎ̥" w:hint="eastAsia"/>
          <w:sz w:val="32"/>
          <w:szCs w:val="32"/>
        </w:rPr>
        <w:t xml:space="preserve">  （注</w:t>
      </w:r>
      <w:r>
        <w:rPr>
          <w:rFonts w:ascii="仿宋_GB2312" w:eastAsia="仿宋_GB2312" w:hAnsi="ˎ̥"/>
          <w:sz w:val="32"/>
          <w:szCs w:val="32"/>
        </w:rPr>
        <w:t>：</w:t>
      </w:r>
      <w:r>
        <w:rPr>
          <w:rFonts w:ascii="仿宋_GB2312" w:eastAsia="仿宋_GB2312" w:hAnsi="ˎ̥" w:hint="eastAsia"/>
          <w:sz w:val="32"/>
          <w:szCs w:val="32"/>
        </w:rPr>
        <w:t>上述各项收入数可取自财决公开02表。）</w:t>
      </w:r>
    </w:p>
    <w:p w:rsidR="00920BEE" w:rsidRDefault="00DA3F19">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本年支出</w:t>
      </w:r>
      <w:r>
        <w:rPr>
          <w:rFonts w:ascii="仿宋_GB2312" w:eastAsia="仿宋_GB2312" w:hAnsi="ˎ̥"/>
          <w:color w:val="FF0000"/>
          <w:sz w:val="32"/>
          <w:szCs w:val="32"/>
        </w:rPr>
        <w:t>1,008.27</w:t>
      </w:r>
      <w:r>
        <w:rPr>
          <w:rFonts w:ascii="仿宋_GB2312" w:eastAsia="仿宋_GB2312" w:hAnsi="ˎ̥" w:hint="eastAsia"/>
          <w:sz w:val="32"/>
          <w:szCs w:val="32"/>
        </w:rPr>
        <w:t>万元，其中：基本支出</w:t>
      </w:r>
      <w:r>
        <w:rPr>
          <w:rFonts w:ascii="仿宋_GB2312" w:eastAsia="仿宋_GB2312" w:hAnsi="ˎ̥"/>
          <w:color w:val="FF0000"/>
          <w:sz w:val="32"/>
          <w:szCs w:val="32"/>
        </w:rPr>
        <w:t>623.80</w:t>
      </w:r>
      <w:r>
        <w:rPr>
          <w:rFonts w:ascii="仿宋_GB2312" w:eastAsia="仿宋_GB2312" w:hAnsi="ˎ̥" w:hint="eastAsia"/>
          <w:sz w:val="32"/>
          <w:szCs w:val="32"/>
        </w:rPr>
        <w:t>万元，占</w:t>
      </w:r>
      <w:r w:rsidR="00A90DC8">
        <w:rPr>
          <w:rFonts w:ascii="仿宋_GB2312" w:eastAsia="仿宋_GB2312" w:hAnsi="ˎ̥" w:hint="eastAsia"/>
          <w:color w:val="FF0000"/>
          <w:sz w:val="32"/>
          <w:szCs w:val="32"/>
        </w:rPr>
        <w:t>61.8</w:t>
      </w:r>
      <w:r>
        <w:rPr>
          <w:rFonts w:ascii="仿宋_GB2312" w:eastAsia="仿宋_GB2312" w:hAnsi="ˎ̥" w:hint="eastAsia"/>
          <w:sz w:val="32"/>
          <w:szCs w:val="32"/>
        </w:rPr>
        <w:t>%；项目支出</w:t>
      </w:r>
      <w:r>
        <w:rPr>
          <w:rFonts w:ascii="仿宋_GB2312" w:eastAsia="仿宋_GB2312" w:hAnsi="ˎ̥"/>
          <w:color w:val="FF0000"/>
          <w:sz w:val="32"/>
          <w:szCs w:val="32"/>
        </w:rPr>
        <w:t>384.48</w:t>
      </w:r>
      <w:r>
        <w:rPr>
          <w:rFonts w:ascii="仿宋_GB2312" w:eastAsia="仿宋_GB2312" w:hAnsi="ˎ̥" w:hint="eastAsia"/>
          <w:sz w:val="32"/>
          <w:szCs w:val="32"/>
        </w:rPr>
        <w:t>万元，占</w:t>
      </w:r>
      <w:r w:rsidR="00A90DC8">
        <w:rPr>
          <w:rFonts w:ascii="仿宋_GB2312" w:eastAsia="仿宋_GB2312" w:hAnsi="ˎ̥" w:hint="eastAsia"/>
          <w:color w:val="FF0000"/>
          <w:sz w:val="32"/>
          <w:szCs w:val="32"/>
        </w:rPr>
        <w:t>38.2</w:t>
      </w:r>
      <w:r>
        <w:rPr>
          <w:rFonts w:ascii="仿宋_GB2312" w:eastAsia="仿宋_GB2312" w:hAnsi="ˎ̥" w:hint="eastAsia"/>
          <w:sz w:val="32"/>
          <w:szCs w:val="32"/>
        </w:rPr>
        <w:t>%；上缴上级支出</w:t>
      </w:r>
      <w:r>
        <w:rPr>
          <w:rFonts w:ascii="仿宋_GB2312" w:eastAsia="仿宋_GB2312" w:hAnsi="ˎ̥"/>
          <w:color w:val="FF0000"/>
          <w:sz w:val="32"/>
          <w:szCs w:val="32"/>
        </w:rPr>
        <w:t>0.00</w:t>
      </w:r>
      <w:r>
        <w:rPr>
          <w:rFonts w:ascii="仿宋_GB2312" w:eastAsia="仿宋_GB2312" w:hAnsi="ˎ̥" w:hint="eastAsia"/>
          <w:sz w:val="32"/>
          <w:szCs w:val="32"/>
        </w:rPr>
        <w:t>万元；经营支出</w:t>
      </w:r>
      <w:r>
        <w:rPr>
          <w:rFonts w:ascii="仿宋_GB2312" w:eastAsia="仿宋_GB2312" w:hAnsi="ˎ̥"/>
          <w:color w:val="FF0000"/>
          <w:sz w:val="32"/>
          <w:szCs w:val="32"/>
        </w:rPr>
        <w:t>0.00</w:t>
      </w:r>
      <w:r>
        <w:rPr>
          <w:rFonts w:ascii="仿宋_GB2312" w:eastAsia="仿宋_GB2312" w:hAnsi="ˎ̥" w:hint="eastAsia"/>
          <w:sz w:val="32"/>
          <w:szCs w:val="32"/>
        </w:rPr>
        <w:t>万元；对附属单位补助支出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上述各项支出数可取自财决公开03表。）</w:t>
      </w:r>
    </w:p>
    <w:p w:rsidR="00920BEE" w:rsidRDefault="00DA3F19">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920BEE" w:rsidRDefault="00DA3F19" w:rsidP="00AD082B">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年度财政拨款收入</w:t>
      </w:r>
      <w:r>
        <w:rPr>
          <w:rFonts w:ascii="仿宋_GB2312" w:eastAsia="仿宋_GB2312" w:hAnsi="ˎ̥"/>
          <w:color w:val="FF0000"/>
          <w:sz w:val="32"/>
          <w:szCs w:val="32"/>
        </w:rPr>
        <w:t>1,008.27</w:t>
      </w:r>
      <w:r>
        <w:rPr>
          <w:rFonts w:ascii="仿宋_GB2312" w:eastAsia="仿宋_GB2312" w:hAnsi="ˎ̥" w:hint="eastAsia"/>
          <w:sz w:val="32"/>
          <w:szCs w:val="32"/>
        </w:rPr>
        <w:t>万元，支出</w:t>
      </w:r>
      <w:r>
        <w:rPr>
          <w:rFonts w:ascii="仿宋_GB2312" w:eastAsia="仿宋_GB2312" w:hAnsi="ˎ̥"/>
          <w:color w:val="FF0000"/>
          <w:sz w:val="32"/>
          <w:szCs w:val="32"/>
        </w:rPr>
        <w:t>1,008.27</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年度相比，财政拨款收入增加</w:t>
      </w:r>
      <w:r w:rsidR="005509F1">
        <w:rPr>
          <w:rFonts w:ascii="仿宋_GB2312" w:eastAsia="仿宋_GB2312" w:hAnsi="ˎ̥" w:hint="eastAsia"/>
          <w:color w:val="FF0000"/>
          <w:sz w:val="32"/>
          <w:szCs w:val="32"/>
        </w:rPr>
        <w:t>142.57</w:t>
      </w:r>
      <w:r>
        <w:rPr>
          <w:rFonts w:ascii="仿宋_GB2312" w:eastAsia="仿宋_GB2312" w:hAnsi="ˎ̥" w:hint="eastAsia"/>
          <w:sz w:val="32"/>
          <w:szCs w:val="32"/>
        </w:rPr>
        <w:t>万元，增长</w:t>
      </w:r>
      <w:r w:rsidR="00AD082B">
        <w:rPr>
          <w:rFonts w:ascii="仿宋_GB2312" w:eastAsia="仿宋_GB2312" w:hAnsi="ˎ̥" w:hint="eastAsia"/>
          <w:color w:val="FF0000"/>
          <w:sz w:val="32"/>
          <w:szCs w:val="32"/>
        </w:rPr>
        <w:t>14.2</w:t>
      </w:r>
      <w:r w:rsidRPr="005509F1">
        <w:rPr>
          <w:rFonts w:ascii="仿宋_GB2312" w:eastAsia="仿宋_GB2312" w:hAnsi="ˎ̥" w:hint="eastAsia"/>
          <w:color w:val="FF0000"/>
          <w:sz w:val="32"/>
          <w:szCs w:val="32"/>
        </w:rPr>
        <w:t>%</w:t>
      </w:r>
      <w:r>
        <w:rPr>
          <w:rFonts w:ascii="仿宋_GB2312" w:eastAsia="仿宋_GB2312" w:hAnsi="ˎ̥" w:hint="eastAsia"/>
          <w:sz w:val="32"/>
          <w:szCs w:val="32"/>
        </w:rPr>
        <w:t>，主要原因：</w:t>
      </w:r>
      <w:r w:rsidR="005509F1">
        <w:rPr>
          <w:rFonts w:ascii="仿宋_GB2312" w:eastAsia="仿宋_GB2312" w:hAnsi="ˎ̥" w:hint="eastAsia"/>
          <w:sz w:val="32"/>
          <w:szCs w:val="32"/>
        </w:rPr>
        <w:t>一是业务培训以及案件量的增多；二是日常办公维修维护等。</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财政拨款年初结转结余</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财政拨款年末结转结余</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920BEE" w:rsidRDefault="00DA3F19">
      <w:pPr>
        <w:spacing w:line="578" w:lineRule="exact"/>
        <w:ind w:firstLineChars="200" w:firstLine="640"/>
        <w:rPr>
          <w:rFonts w:ascii="楷体" w:eastAsia="楷体" w:hAnsi="楷体" w:cs="楷体"/>
          <w:sz w:val="32"/>
          <w:szCs w:val="32"/>
        </w:rPr>
      </w:pPr>
      <w:bookmarkStart w:id="78" w:name="_Toc23005_WPSOffice_Level2"/>
      <w:bookmarkStart w:id="79" w:name="_Toc9989_WPSOffice_Level2"/>
      <w:bookmarkStart w:id="80" w:name="_Toc19665_WPSOffice_Level2"/>
      <w:bookmarkStart w:id="81" w:name="_Toc13694_WPSOffice_Level2"/>
      <w:bookmarkStart w:id="82" w:name="_Toc17398_WPSOffice_Level2"/>
      <w:bookmarkStart w:id="83" w:name="_Toc21737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rsidR="00AD082B" w:rsidRDefault="00DA3F19" w:rsidP="00AD082B">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1,008.27</w:t>
      </w:r>
      <w:r>
        <w:rPr>
          <w:rFonts w:ascii="仿宋_GB2312" w:eastAsia="仿宋_GB2312" w:hAnsi="ˎ̥" w:hint="eastAsia"/>
          <w:sz w:val="32"/>
          <w:szCs w:val="32"/>
        </w:rPr>
        <w:t>万元，占本年支出合计的</w:t>
      </w:r>
      <w:r w:rsidR="00AD082B">
        <w:rPr>
          <w:rFonts w:ascii="仿宋_GB2312" w:eastAsia="仿宋_GB2312" w:hAnsi="ˎ̥" w:hint="eastAsia"/>
          <w:color w:val="FF0000"/>
          <w:sz w:val="32"/>
          <w:szCs w:val="32"/>
        </w:rPr>
        <w:t>98.7</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年度相比，一般公共预算财政拨款支出增加</w:t>
      </w:r>
      <w:r w:rsidR="00AD082B">
        <w:rPr>
          <w:rFonts w:ascii="仿宋_GB2312" w:eastAsia="仿宋_GB2312" w:hAnsi="ˎ̥" w:hint="eastAsia"/>
          <w:color w:val="FF0000"/>
          <w:sz w:val="32"/>
          <w:szCs w:val="32"/>
        </w:rPr>
        <w:t>142.57</w:t>
      </w:r>
      <w:r>
        <w:rPr>
          <w:rFonts w:ascii="仿宋_GB2312" w:eastAsia="仿宋_GB2312" w:hAnsi="ˎ̥" w:hint="eastAsia"/>
          <w:sz w:val="32"/>
          <w:szCs w:val="32"/>
        </w:rPr>
        <w:t>万元，增长（下降）</w:t>
      </w:r>
      <w:r w:rsidR="00AD082B">
        <w:rPr>
          <w:rFonts w:ascii="仿宋_GB2312" w:eastAsia="仿宋_GB2312" w:hAnsi="ˎ̥" w:hint="eastAsia"/>
          <w:color w:val="FF0000"/>
          <w:sz w:val="32"/>
          <w:szCs w:val="32"/>
        </w:rPr>
        <w:t>14.2</w:t>
      </w:r>
      <w:r>
        <w:rPr>
          <w:rFonts w:ascii="仿宋_GB2312" w:eastAsia="仿宋_GB2312" w:hAnsi="ˎ̥" w:hint="eastAsia"/>
          <w:sz w:val="32"/>
          <w:szCs w:val="32"/>
        </w:rPr>
        <w:t>%，主要原因是</w:t>
      </w:r>
      <w:r w:rsidR="00AD082B">
        <w:rPr>
          <w:rFonts w:ascii="仿宋_GB2312" w:eastAsia="仿宋_GB2312" w:hAnsi="ˎ̥" w:hint="eastAsia"/>
          <w:sz w:val="32"/>
          <w:szCs w:val="32"/>
        </w:rPr>
        <w:t>一是业务培训以及案件量的增多；二是日常办公维修维护等。</w:t>
      </w:r>
    </w:p>
    <w:p w:rsidR="00920BEE" w:rsidRDefault="00DA3F19">
      <w:pPr>
        <w:spacing w:line="578" w:lineRule="exact"/>
        <w:ind w:firstLineChars="200" w:firstLine="640"/>
        <w:rPr>
          <w:rFonts w:ascii="楷体" w:eastAsia="楷体" w:hAnsi="楷体" w:cs="楷体"/>
          <w:sz w:val="32"/>
          <w:szCs w:val="32"/>
        </w:rPr>
      </w:pPr>
      <w:bookmarkStart w:id="84" w:name="_Toc27767_WPSOffice_Level2"/>
      <w:bookmarkStart w:id="85" w:name="_Toc2711_WPSOffice_Level2"/>
      <w:bookmarkStart w:id="86" w:name="_Toc18793_WPSOffice_Level2"/>
      <w:bookmarkStart w:id="87" w:name="_Toc19535_WPSOffice_Level2"/>
      <w:bookmarkStart w:id="88" w:name="_Toc19075_WPSOffice_Level2"/>
      <w:bookmarkStart w:id="89" w:name="_Toc23864_WPSOffice_Level2"/>
      <w:r>
        <w:rPr>
          <w:rFonts w:ascii="楷体" w:eastAsia="楷体" w:hAnsi="楷体" w:cs="楷体" w:hint="eastAsia"/>
          <w:sz w:val="32"/>
          <w:szCs w:val="32"/>
        </w:rPr>
        <w:lastRenderedPageBreak/>
        <w:t>（二）一般公共预算财政拨款支出决算结构情况</w:t>
      </w:r>
      <w:bookmarkEnd w:id="84"/>
      <w:bookmarkEnd w:id="85"/>
      <w:bookmarkEnd w:id="86"/>
      <w:bookmarkEnd w:id="87"/>
      <w:bookmarkEnd w:id="88"/>
      <w:bookmarkEnd w:id="89"/>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1,008.27</w:t>
      </w:r>
      <w:r>
        <w:rPr>
          <w:rFonts w:ascii="仿宋_GB2312" w:eastAsia="仿宋_GB2312" w:hAnsi="ˎ̥" w:hint="eastAsia"/>
          <w:sz w:val="32"/>
          <w:szCs w:val="32"/>
        </w:rPr>
        <w:t>万元，主要用于以下方面：</w:t>
      </w:r>
      <w:r>
        <w:rPr>
          <w:rFonts w:ascii="仿宋_GB2312" w:eastAsia="仿宋_GB2312" w:hAnsi="ˎ̥" w:hint="eastAsia"/>
          <w:b/>
          <w:sz w:val="32"/>
          <w:szCs w:val="32"/>
        </w:rPr>
        <w:t>一般公共服务（类）</w:t>
      </w:r>
      <w:r w:rsidR="00896BF1">
        <w:rPr>
          <w:rFonts w:ascii="仿宋_GB2312" w:eastAsia="仿宋_GB2312" w:hAnsi="ˎ̥" w:hint="eastAsia"/>
          <w:b/>
          <w:sz w:val="32"/>
          <w:szCs w:val="32"/>
        </w:rPr>
        <w:t>基本</w:t>
      </w:r>
      <w:r>
        <w:rPr>
          <w:rFonts w:ascii="仿宋_GB2312" w:eastAsia="仿宋_GB2312" w:hAnsi="ˎ̥" w:hint="eastAsia"/>
          <w:sz w:val="32"/>
          <w:szCs w:val="32"/>
        </w:rPr>
        <w:t>支出</w:t>
      </w:r>
      <w:r w:rsidR="00896BF1">
        <w:rPr>
          <w:rFonts w:ascii="仿宋_GB2312" w:eastAsia="仿宋_GB2312" w:hAnsi="ˎ̥" w:hint="eastAsia"/>
          <w:color w:val="FF0000"/>
          <w:sz w:val="32"/>
          <w:szCs w:val="32"/>
        </w:rPr>
        <w:t>920.71</w:t>
      </w:r>
      <w:r>
        <w:rPr>
          <w:rFonts w:ascii="仿宋_GB2312" w:eastAsia="仿宋_GB2312" w:hAnsi="ˎ̥" w:hint="eastAsia"/>
          <w:sz w:val="32"/>
          <w:szCs w:val="32"/>
        </w:rPr>
        <w:t>万元，占</w:t>
      </w:r>
      <w:r w:rsidR="00896BF1">
        <w:rPr>
          <w:rFonts w:ascii="仿宋_GB2312" w:eastAsia="仿宋_GB2312" w:hAnsi="ˎ̥" w:hint="eastAsia"/>
          <w:color w:val="FF0000"/>
          <w:sz w:val="32"/>
          <w:szCs w:val="32"/>
        </w:rPr>
        <w:t>91.3</w:t>
      </w:r>
      <w:r>
        <w:rPr>
          <w:rFonts w:ascii="仿宋_GB2312" w:eastAsia="仿宋_GB2312" w:hAnsi="ˎ̥" w:hint="eastAsia"/>
          <w:sz w:val="32"/>
          <w:szCs w:val="32"/>
        </w:rPr>
        <w:t>%；</w:t>
      </w:r>
      <w:r>
        <w:rPr>
          <w:rFonts w:ascii="仿宋_GB2312" w:eastAsia="仿宋_GB2312" w:hAnsi="ˎ̥" w:hint="eastAsia"/>
          <w:b/>
          <w:sz w:val="32"/>
          <w:szCs w:val="32"/>
        </w:rPr>
        <w:t>社会保障和就业（类）</w:t>
      </w:r>
      <w:r>
        <w:rPr>
          <w:rFonts w:ascii="仿宋_GB2312" w:eastAsia="仿宋_GB2312" w:hAnsi="ˎ̥" w:hint="eastAsia"/>
          <w:sz w:val="32"/>
          <w:szCs w:val="32"/>
        </w:rPr>
        <w:t>支出</w:t>
      </w:r>
      <w:r w:rsidR="00896BF1">
        <w:rPr>
          <w:rFonts w:ascii="仿宋_GB2312" w:eastAsia="仿宋_GB2312" w:hAnsi="ˎ̥" w:hint="eastAsia"/>
          <w:color w:val="FF0000"/>
          <w:sz w:val="32"/>
          <w:szCs w:val="32"/>
        </w:rPr>
        <w:t>48.55</w:t>
      </w:r>
      <w:r>
        <w:rPr>
          <w:rFonts w:ascii="仿宋_GB2312" w:eastAsia="仿宋_GB2312" w:hAnsi="ˎ̥" w:hint="eastAsia"/>
          <w:sz w:val="32"/>
          <w:szCs w:val="32"/>
        </w:rPr>
        <w:t>万元，占</w:t>
      </w:r>
      <w:r w:rsidR="00896BF1">
        <w:rPr>
          <w:rFonts w:ascii="仿宋_GB2312" w:eastAsia="仿宋_GB2312" w:hAnsi="ˎ̥" w:hint="eastAsia"/>
          <w:color w:val="FF0000"/>
          <w:sz w:val="32"/>
          <w:szCs w:val="32"/>
        </w:rPr>
        <w:t>4.8</w:t>
      </w:r>
      <w:r>
        <w:rPr>
          <w:rFonts w:ascii="仿宋_GB2312" w:eastAsia="仿宋_GB2312" w:hAnsi="ˎ̥" w:hint="eastAsia"/>
          <w:sz w:val="32"/>
          <w:szCs w:val="32"/>
        </w:rPr>
        <w:t>%；</w:t>
      </w:r>
      <w:r>
        <w:rPr>
          <w:rFonts w:ascii="仿宋_GB2312" w:eastAsia="仿宋_GB2312" w:hAnsi="ˎ̥" w:hint="eastAsia"/>
          <w:b/>
          <w:bCs/>
          <w:sz w:val="32"/>
          <w:szCs w:val="32"/>
        </w:rPr>
        <w:t>住房保障（类）</w:t>
      </w:r>
      <w:r>
        <w:rPr>
          <w:rFonts w:ascii="仿宋_GB2312" w:eastAsia="仿宋_GB2312" w:hAnsi="ˎ̥" w:hint="eastAsia"/>
          <w:sz w:val="32"/>
          <w:szCs w:val="32"/>
        </w:rPr>
        <w:t>支出</w:t>
      </w:r>
      <w:r w:rsidR="00896BF1">
        <w:rPr>
          <w:rFonts w:ascii="仿宋_GB2312" w:eastAsia="仿宋_GB2312" w:hAnsi="ˎ̥" w:hint="eastAsia"/>
          <w:color w:val="FF0000"/>
          <w:sz w:val="32"/>
          <w:szCs w:val="32"/>
        </w:rPr>
        <w:t>39.01</w:t>
      </w:r>
      <w:r>
        <w:rPr>
          <w:rFonts w:ascii="仿宋_GB2312" w:eastAsia="仿宋_GB2312" w:hAnsi="ˎ̥" w:hint="eastAsia"/>
          <w:sz w:val="32"/>
          <w:szCs w:val="32"/>
        </w:rPr>
        <w:t>万元，占</w:t>
      </w:r>
      <w:r w:rsidR="00896BF1">
        <w:rPr>
          <w:rFonts w:ascii="仿宋_GB2312" w:eastAsia="仿宋_GB2312" w:hAnsi="ˎ̥" w:hint="eastAsia"/>
          <w:color w:val="FF0000"/>
          <w:sz w:val="32"/>
          <w:szCs w:val="32"/>
        </w:rPr>
        <w:t>3.9</w:t>
      </w:r>
      <w:r>
        <w:rPr>
          <w:rFonts w:ascii="仿宋_GB2312" w:eastAsia="仿宋_GB2312" w:hAnsi="ˎ̥" w:hint="eastAsia"/>
          <w:sz w:val="32"/>
          <w:szCs w:val="32"/>
        </w:rPr>
        <w:t>%。</w:t>
      </w:r>
    </w:p>
    <w:p w:rsidR="00920BEE" w:rsidRDefault="00DA3F19">
      <w:pPr>
        <w:spacing w:line="578" w:lineRule="exact"/>
        <w:ind w:firstLineChars="200" w:firstLine="640"/>
        <w:rPr>
          <w:rFonts w:ascii="楷体" w:eastAsia="楷体" w:hAnsi="楷体" w:cs="楷体"/>
          <w:sz w:val="32"/>
          <w:szCs w:val="32"/>
        </w:rPr>
      </w:pPr>
      <w:bookmarkStart w:id="90" w:name="_Toc9502_WPSOffice_Level2"/>
      <w:bookmarkStart w:id="91" w:name="_Toc15415_WPSOffice_Level2"/>
      <w:bookmarkStart w:id="92" w:name="_Toc25136_WPSOffice_Level2"/>
      <w:bookmarkStart w:id="93" w:name="_Toc21701_WPSOffice_Level2"/>
      <w:bookmarkStart w:id="94" w:name="_Toc22318_WPSOffice_Level2"/>
      <w:bookmarkStart w:id="95" w:name="_Toc29364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年度一般公共预算财政拨款支出年初预算为</w:t>
      </w:r>
      <w:r w:rsidR="00896BF1">
        <w:rPr>
          <w:rFonts w:ascii="仿宋_GB2312" w:eastAsia="仿宋_GB2312" w:hAnsi="ˎ̥"/>
          <w:color w:val="FF0000"/>
          <w:sz w:val="32"/>
          <w:szCs w:val="32"/>
        </w:rPr>
        <w:t>1,021.27</w:t>
      </w:r>
      <w:r>
        <w:rPr>
          <w:rFonts w:ascii="仿宋_GB2312" w:eastAsia="仿宋_GB2312" w:hAnsi="ˎ̥" w:hint="eastAsia"/>
          <w:sz w:val="32"/>
          <w:szCs w:val="32"/>
        </w:rPr>
        <w:t>万元，支出决算为</w:t>
      </w:r>
      <w:r>
        <w:rPr>
          <w:rFonts w:ascii="仿宋_GB2312" w:eastAsia="仿宋_GB2312" w:hAnsi="ˎ̥"/>
          <w:color w:val="FF0000"/>
          <w:sz w:val="32"/>
          <w:szCs w:val="32"/>
        </w:rPr>
        <w:t>1,008.27</w:t>
      </w:r>
      <w:r>
        <w:rPr>
          <w:rFonts w:ascii="仿宋_GB2312" w:eastAsia="仿宋_GB2312" w:hAnsi="ˎ̥" w:hint="eastAsia"/>
          <w:sz w:val="32"/>
          <w:szCs w:val="32"/>
        </w:rPr>
        <w:t>万元，完成年初预算的</w:t>
      </w:r>
      <w:r w:rsidR="00896BF1">
        <w:rPr>
          <w:rFonts w:ascii="仿宋_GB2312" w:eastAsia="仿宋_GB2312" w:hAnsi="ˎ̥" w:hint="eastAsia"/>
          <w:color w:val="FF0000"/>
          <w:sz w:val="32"/>
          <w:szCs w:val="32"/>
        </w:rPr>
        <w:t>98.72</w:t>
      </w:r>
      <w:r>
        <w:rPr>
          <w:rFonts w:ascii="仿宋_GB2312" w:eastAsia="仿宋_GB2312" w:hAnsi="ˎ̥" w:hint="eastAsia"/>
          <w:sz w:val="32"/>
          <w:szCs w:val="32"/>
        </w:rPr>
        <w:t>%。</w:t>
      </w:r>
    </w:p>
    <w:p w:rsidR="00920BEE" w:rsidRDefault="00DA3F19">
      <w:pPr>
        <w:spacing w:line="578" w:lineRule="exact"/>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920BEE" w:rsidRDefault="00DA3F19">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年度财政拨款基本支出</w:t>
      </w:r>
      <w:r>
        <w:rPr>
          <w:rFonts w:ascii="仿宋_GB2312" w:eastAsia="仿宋_GB2312" w:hAnsi="ˎ̥" w:hint="eastAsia"/>
          <w:color w:val="FF0000"/>
          <w:sz w:val="32"/>
          <w:szCs w:val="32"/>
        </w:rPr>
        <w:t>623.80</w:t>
      </w:r>
      <w:r>
        <w:rPr>
          <w:rFonts w:ascii="仿宋_GB2312" w:eastAsia="仿宋_GB2312" w:hAnsi="ˎ̥" w:hint="eastAsia"/>
          <w:sz w:val="32"/>
          <w:szCs w:val="32"/>
        </w:rPr>
        <w:t>万元，其中：人员经费</w:t>
      </w:r>
      <w:r>
        <w:rPr>
          <w:rFonts w:ascii="仿宋_GB2312" w:eastAsia="仿宋_GB2312" w:hAnsi="ˎ̥"/>
          <w:color w:val="FF0000"/>
          <w:sz w:val="32"/>
          <w:szCs w:val="32"/>
        </w:rPr>
        <w:t>588.53</w:t>
      </w:r>
      <w:r>
        <w:rPr>
          <w:rFonts w:ascii="仿宋_GB2312" w:eastAsia="仿宋_GB2312" w:hAnsi="ˎ̥" w:hint="eastAsia"/>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eastAsia="仿宋_GB2312" w:hAnsi="ˎ̥"/>
          <w:color w:val="FF0000"/>
          <w:sz w:val="32"/>
          <w:szCs w:val="32"/>
        </w:rPr>
        <w:t>35.27</w:t>
      </w:r>
      <w:r>
        <w:rPr>
          <w:rFonts w:ascii="仿宋_GB2312" w:eastAsia="仿宋_GB2312" w:hAnsi="ˎ̥" w:hint="eastAsia"/>
          <w:sz w:val="32"/>
          <w:szCs w:val="32"/>
        </w:rPr>
        <w:t>万元，主要包括：商品和服务支出中的办公费、印刷费、咨询费、手续费、水费、电费、邮电费、取暖费、物业管</w:t>
      </w:r>
      <w:r>
        <w:rPr>
          <w:rFonts w:ascii="仿宋_GB2312" w:eastAsia="仿宋_GB2312" w:hAnsi="ˎ̥" w:hint="eastAsia"/>
          <w:sz w:val="32"/>
          <w:szCs w:val="32"/>
        </w:rPr>
        <w:lastRenderedPageBreak/>
        <w:t>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rsidR="00920BEE" w:rsidRDefault="00DA3F19">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七、政府性基金预算财政拨款支出决算情况说明</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rsidR="00E21379"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（二）政府性基金预算财政拨款支出决算结构情况</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（三）政府性基金预算财政拨款支出决算具体情况</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年度政府性基金预算财政拨款支出年初预算为</w:t>
      </w:r>
      <w:r w:rsidR="00E21379">
        <w:rPr>
          <w:rFonts w:ascii="仿宋_GB2312" w:eastAsia="仿宋_GB2312" w:hAnsi="ˎ̥" w:hint="eastAsia"/>
          <w:color w:val="FF0000"/>
          <w:sz w:val="32"/>
          <w:szCs w:val="32"/>
        </w:rPr>
        <w:t>0.00</w:t>
      </w:r>
      <w:r>
        <w:rPr>
          <w:rFonts w:ascii="仿宋_GB2312" w:eastAsia="仿宋_GB2312" w:hAnsi="ˎ̥" w:hint="eastAsia"/>
          <w:sz w:val="32"/>
          <w:szCs w:val="32"/>
        </w:rPr>
        <w:t>万元，支出决算为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lastRenderedPageBreak/>
        <w:t>八、国有资本经营预算财政拨款支出决算情况说明</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rsidR="00E21379"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（二）国有资本经营预算财政拨款支出决算结构情况</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（三）国有资本经营预算财政拨款支出决算具体情况</w:t>
      </w:r>
    </w:p>
    <w:p w:rsidR="00920BEE" w:rsidRPr="00E21379" w:rsidRDefault="00DA3F19" w:rsidP="00E21379">
      <w:pPr>
        <w:spacing w:line="578" w:lineRule="exact"/>
        <w:ind w:firstLineChars="200" w:firstLine="640"/>
        <w:rPr>
          <w:rFonts w:ascii="仿宋_GB2312" w:eastAsia="仿宋_GB2312" w:hAnsi="ˎ̥"/>
          <w:b/>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年度国有资本经营预算财政拨款支出年初预算为</w:t>
      </w:r>
      <w:r w:rsidR="00E21379">
        <w:rPr>
          <w:rFonts w:ascii="仿宋_GB2312" w:eastAsia="仿宋_GB2312" w:hAnsi="ˎ̥" w:hint="eastAsia"/>
          <w:color w:val="FF0000"/>
          <w:sz w:val="32"/>
          <w:szCs w:val="32"/>
        </w:rPr>
        <w:t>0.00</w:t>
      </w:r>
      <w:r>
        <w:rPr>
          <w:rFonts w:ascii="仿宋_GB2312" w:eastAsia="仿宋_GB2312" w:hAnsi="ˎ̥" w:hint="eastAsia"/>
          <w:sz w:val="32"/>
          <w:szCs w:val="32"/>
        </w:rPr>
        <w:t>万元。</w:t>
      </w:r>
    </w:p>
    <w:p w:rsidR="00920BEE" w:rsidRDefault="00DA3F19">
      <w:pPr>
        <w:spacing w:line="578" w:lineRule="exact"/>
        <w:ind w:firstLineChars="196" w:firstLine="627"/>
        <w:rPr>
          <w:rFonts w:ascii="仿宋_GB2312" w:eastAsia="楷体_GB2312" w:hAnsi="ˎ̥"/>
          <w:sz w:val="32"/>
          <w:szCs w:val="32"/>
        </w:rPr>
      </w:pPr>
      <w:r>
        <w:rPr>
          <w:rFonts w:ascii="黑体" w:eastAsia="黑体" w:hAnsi="黑体" w:cs="黑体" w:hint="eastAsia"/>
          <w:bCs/>
          <w:sz w:val="32"/>
          <w:szCs w:val="32"/>
        </w:rPr>
        <w:t>九、财政拨款“三公”经费支出决算情况说明</w:t>
      </w:r>
    </w:p>
    <w:p w:rsidR="00920BEE" w:rsidRDefault="00DA3F19">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rsidR="00920BEE" w:rsidRDefault="00DA3F19">
      <w:pPr>
        <w:spacing w:line="578" w:lineRule="exac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年度财政拨款“三公”经费支出预算为</w:t>
      </w:r>
      <w:r>
        <w:rPr>
          <w:rFonts w:ascii="仿宋_GB2312" w:eastAsia="仿宋_GB2312" w:hAnsi="ˎ̥"/>
          <w:color w:val="FF0000"/>
          <w:sz w:val="32"/>
          <w:szCs w:val="32"/>
        </w:rPr>
        <w:t>39.10</w:t>
      </w:r>
      <w:r>
        <w:rPr>
          <w:rFonts w:ascii="仿宋_GB2312" w:eastAsia="仿宋_GB2312" w:hAnsi="ˎ̥" w:hint="eastAsia"/>
          <w:sz w:val="32"/>
          <w:szCs w:val="32"/>
        </w:rPr>
        <w:t>万元，支出决算为</w:t>
      </w:r>
      <w:r>
        <w:rPr>
          <w:rFonts w:ascii="仿宋_GB2312" w:eastAsia="仿宋_GB2312" w:hAnsi="ˎ̥"/>
          <w:color w:val="FF0000"/>
          <w:sz w:val="32"/>
          <w:szCs w:val="32"/>
        </w:rPr>
        <w:t>39.10</w:t>
      </w:r>
      <w:r>
        <w:rPr>
          <w:rFonts w:ascii="仿宋_GB2312" w:eastAsia="仿宋_GB2312" w:hAnsi="ˎ̥" w:hint="eastAsia"/>
          <w:sz w:val="32"/>
          <w:szCs w:val="32"/>
        </w:rPr>
        <w:t>万元，完成预算的</w:t>
      </w:r>
      <w:r w:rsidR="00E21379">
        <w:rPr>
          <w:rFonts w:ascii="仿宋_GB2312" w:eastAsia="仿宋_GB2312" w:hAnsi="ˎ̥" w:hint="eastAsia"/>
          <w:color w:val="FF0000"/>
          <w:sz w:val="32"/>
          <w:szCs w:val="32"/>
        </w:rPr>
        <w:t>100</w:t>
      </w:r>
      <w:r>
        <w:rPr>
          <w:rFonts w:ascii="仿宋_GB2312" w:eastAsia="仿宋_GB2312" w:hAnsi="ˎ̥" w:hint="eastAsia"/>
          <w:sz w:val="32"/>
          <w:szCs w:val="32"/>
        </w:rPr>
        <w:t>%。</w:t>
      </w:r>
    </w:p>
    <w:p w:rsidR="00920BEE" w:rsidRDefault="00DA3F19">
      <w:pPr>
        <w:spacing w:line="578" w:lineRule="exact"/>
        <w:rPr>
          <w:rFonts w:ascii="楷体" w:eastAsia="楷体" w:hAnsi="楷体" w:cs="楷体"/>
          <w:sz w:val="32"/>
          <w:szCs w:val="32"/>
        </w:rPr>
      </w:pPr>
      <w:r>
        <w:rPr>
          <w:rFonts w:ascii="楷体" w:eastAsia="楷体" w:hAnsi="楷体" w:cs="楷体" w:hint="eastAsia"/>
          <w:sz w:val="32"/>
          <w:szCs w:val="32"/>
        </w:rPr>
        <w:t xml:space="preserve"> （二）财政拨款“三公”经费支出决算具体情况说明</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年度财政拨款“三公”经费支出决算中，因公出国（境）费支出决算</w:t>
      </w:r>
      <w:r>
        <w:rPr>
          <w:rFonts w:ascii="仿宋_GB2312" w:eastAsia="仿宋_GB2312" w:hAnsi="ˎ̥"/>
          <w:color w:val="FF0000"/>
          <w:sz w:val="32"/>
          <w:szCs w:val="32"/>
        </w:rPr>
        <w:t>0.00</w:t>
      </w:r>
      <w:r>
        <w:rPr>
          <w:rFonts w:ascii="仿宋_GB2312" w:eastAsia="仿宋_GB2312" w:hAnsi="ˎ̥" w:hint="eastAsia"/>
          <w:sz w:val="32"/>
          <w:szCs w:val="32"/>
        </w:rPr>
        <w:t>万元；公务用车购置及运行维护费支出决算</w:t>
      </w:r>
      <w:r>
        <w:rPr>
          <w:rFonts w:ascii="仿宋_GB2312" w:eastAsia="仿宋_GB2312" w:hAnsi="ˎ̥"/>
          <w:color w:val="FF0000"/>
          <w:sz w:val="32"/>
          <w:szCs w:val="32"/>
        </w:rPr>
        <w:t>39.10</w:t>
      </w:r>
      <w:r>
        <w:rPr>
          <w:rFonts w:ascii="仿宋_GB2312" w:eastAsia="仿宋_GB2312" w:hAnsi="ˎ̥" w:hint="eastAsia"/>
          <w:sz w:val="32"/>
          <w:szCs w:val="32"/>
        </w:rPr>
        <w:t>万元，占</w:t>
      </w:r>
      <w:r w:rsidR="00E21379">
        <w:rPr>
          <w:rFonts w:ascii="仿宋_GB2312" w:eastAsia="仿宋_GB2312" w:hAnsi="ˎ̥" w:hint="eastAsia"/>
          <w:color w:val="FF0000"/>
          <w:sz w:val="32"/>
          <w:szCs w:val="32"/>
        </w:rPr>
        <w:t>100</w:t>
      </w:r>
      <w:r>
        <w:rPr>
          <w:rFonts w:ascii="仿宋_GB2312" w:eastAsia="仿宋_GB2312" w:hAnsi="ˎ̥" w:hint="eastAsia"/>
          <w:sz w:val="32"/>
          <w:szCs w:val="32"/>
        </w:rPr>
        <w:t>%。</w:t>
      </w:r>
    </w:p>
    <w:p w:rsidR="00920BEE" w:rsidRDefault="00DA3F19" w:rsidP="00E21379">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w:t>
      </w:r>
    </w:p>
    <w:p w:rsidR="00920BEE" w:rsidRDefault="00DA3F19" w:rsidP="00E21379">
      <w:pPr>
        <w:spacing w:line="578" w:lineRule="exact"/>
        <w:rPr>
          <w:rFonts w:ascii="仿宋_GB2312" w:eastAsia="仿宋_GB2312" w:hAnsi="ˎ̥"/>
          <w:sz w:val="32"/>
          <w:szCs w:val="32"/>
        </w:rPr>
      </w:pPr>
      <w:r>
        <w:rPr>
          <w:rFonts w:ascii="仿宋_GB2312" w:eastAsia="仿宋_GB2312" w:hAnsi="ˎ̥" w:hint="eastAsia"/>
          <w:b/>
          <w:sz w:val="32"/>
          <w:szCs w:val="32"/>
        </w:rPr>
        <w:lastRenderedPageBreak/>
        <w:t xml:space="preserve">    2.公务用车购置及运行维护费</w:t>
      </w:r>
      <w:r>
        <w:rPr>
          <w:rFonts w:ascii="仿宋_GB2312" w:eastAsia="仿宋_GB2312" w:hAnsi="ˎ̥" w:hint="eastAsia"/>
          <w:bCs/>
          <w:sz w:val="32"/>
          <w:szCs w:val="32"/>
        </w:rPr>
        <w:t>支出</w:t>
      </w:r>
      <w:r>
        <w:rPr>
          <w:rFonts w:ascii="仿宋_GB2312" w:eastAsia="仿宋_GB2312" w:hAnsi="ˎ̥"/>
          <w:color w:val="FF0000"/>
          <w:sz w:val="32"/>
          <w:szCs w:val="32"/>
        </w:rPr>
        <w:t>39.10</w:t>
      </w:r>
      <w:r>
        <w:rPr>
          <w:rFonts w:ascii="仿宋_GB2312" w:eastAsia="仿宋_GB2312" w:hAnsi="ˎ̥" w:hint="eastAsia"/>
          <w:sz w:val="32"/>
          <w:szCs w:val="32"/>
        </w:rPr>
        <w:t>万元。</w:t>
      </w:r>
    </w:p>
    <w:p w:rsidR="00920BEE" w:rsidRDefault="00DA3F19">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Pr>
          <w:rFonts w:ascii="仿宋_GB2312" w:eastAsia="仿宋_GB2312" w:hAnsi="ˎ̥"/>
          <w:color w:val="FF0000"/>
          <w:sz w:val="32"/>
          <w:szCs w:val="32"/>
        </w:rPr>
        <w:t>39.10</w:t>
      </w:r>
      <w:r>
        <w:rPr>
          <w:rFonts w:ascii="仿宋_GB2312" w:eastAsia="仿宋_GB2312" w:hAnsi="ˎ̥" w:hint="eastAsia"/>
          <w:sz w:val="32"/>
          <w:szCs w:val="32"/>
        </w:rPr>
        <w:t>万元，主要用于</w:t>
      </w:r>
      <w:r w:rsidR="00E21379">
        <w:rPr>
          <w:rFonts w:ascii="仿宋_GB2312" w:eastAsia="仿宋_GB2312" w:hAnsi="ˎ̥" w:hint="eastAsia"/>
          <w:sz w:val="32"/>
          <w:szCs w:val="32"/>
        </w:rPr>
        <w:t>各类检察业务需求</w:t>
      </w:r>
      <w:r>
        <w:rPr>
          <w:rFonts w:ascii="仿宋_GB2312" w:eastAsia="仿宋_GB2312" w:hAnsi="ˎ̥" w:hint="eastAsia"/>
          <w:sz w:val="32"/>
          <w:szCs w:val="32"/>
        </w:rPr>
        <w:t>。</w:t>
      </w:r>
    </w:p>
    <w:p w:rsidR="00920BEE" w:rsidRDefault="00DA3F19">
      <w:pPr>
        <w:spacing w:line="578" w:lineRule="exact"/>
        <w:rPr>
          <w:rFonts w:ascii="仿宋_GB2312" w:eastAsia="仿宋_GB2312" w:hAnsi="ˎ̥"/>
          <w:sz w:val="32"/>
          <w:szCs w:val="32"/>
        </w:rPr>
      </w:pPr>
      <w:r>
        <w:rPr>
          <w:rFonts w:ascii="仿宋_GB2312" w:eastAsia="仿宋_GB2312" w:hAnsi="ˎ̥" w:hint="eastAsia"/>
          <w:b/>
          <w:sz w:val="32"/>
          <w:szCs w:val="32"/>
        </w:rPr>
        <w:t xml:space="preserve">    3.公务接待费</w:t>
      </w:r>
      <w:r>
        <w:rPr>
          <w:rFonts w:ascii="仿宋_GB2312" w:eastAsia="仿宋_GB2312" w:hAnsi="ˎ̥" w:hint="eastAsia"/>
          <w:bCs/>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w:t>
      </w:r>
      <w:r w:rsidR="00E21379">
        <w:rPr>
          <w:rFonts w:ascii="仿宋_GB2312" w:eastAsia="仿宋_GB2312" w:hAnsi="ˎ̥" w:hint="eastAsia"/>
          <w:sz w:val="32"/>
          <w:szCs w:val="32"/>
        </w:rPr>
        <w:t>。</w:t>
      </w:r>
    </w:p>
    <w:p w:rsidR="00920BEE" w:rsidRPr="00E21379" w:rsidRDefault="00DA3F19" w:rsidP="00E21379">
      <w:pPr>
        <w:spacing w:line="578" w:lineRule="exact"/>
        <w:ind w:firstLineChars="200" w:firstLine="640"/>
        <w:rPr>
          <w:rFonts w:ascii="仿宋_GB2312" w:eastAsia="仿宋_GB2312"/>
          <w:sz w:val="32"/>
          <w:szCs w:val="32"/>
        </w:rPr>
      </w:pPr>
      <w:r>
        <w:rPr>
          <w:rFonts w:ascii="黑体" w:eastAsia="黑体" w:hAnsi="黑体" w:cs="黑体" w:hint="eastAsia"/>
          <w:bCs/>
          <w:sz w:val="32"/>
          <w:szCs w:val="32"/>
        </w:rPr>
        <w:t>十、其他重要事项情况说明</w:t>
      </w:r>
    </w:p>
    <w:p w:rsidR="00920BEE" w:rsidRDefault="00DA3F19">
      <w:pPr>
        <w:spacing w:line="578" w:lineRule="exact"/>
        <w:ind w:firstLineChars="200" w:firstLine="640"/>
        <w:rPr>
          <w:rFonts w:ascii="楷体" w:eastAsia="楷体" w:hAnsi="楷体" w:cs="楷体"/>
          <w:bCs/>
          <w:sz w:val="32"/>
          <w:szCs w:val="32"/>
        </w:rPr>
      </w:pPr>
      <w:bookmarkStart w:id="96" w:name="_Toc5978_WPSOffice_Level2"/>
      <w:bookmarkStart w:id="97" w:name="_Toc32639_WPSOffice_Level2"/>
      <w:bookmarkStart w:id="98" w:name="_Toc18325_WPSOffice_Level2"/>
      <w:bookmarkStart w:id="99" w:name="_Toc15565_WPSOffice_Level2"/>
      <w:bookmarkStart w:id="100" w:name="_Toc23598_WPSOffice_Level2"/>
      <w:bookmarkStart w:id="101" w:name="_Toc15262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rsidR="00920BEE" w:rsidRDefault="00DA3F19" w:rsidP="00157978">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E21379">
        <w:rPr>
          <w:rFonts w:ascii="仿宋_GB2312" w:eastAsia="仿宋_GB2312" w:hAnsi="ˎ̥" w:hint="eastAsia"/>
          <w:color w:val="FF0000"/>
          <w:sz w:val="32"/>
          <w:szCs w:val="32"/>
        </w:rPr>
        <w:t>申扎县人民检察院</w:t>
      </w:r>
      <w:r>
        <w:rPr>
          <w:rFonts w:ascii="仿宋_GB2312" w:eastAsia="仿宋_GB2312" w:hAnsi="ˎ̥" w:hint="eastAsia"/>
          <w:sz w:val="32"/>
          <w:szCs w:val="32"/>
        </w:rPr>
        <w:t>机关运行经费</w:t>
      </w:r>
      <w:r w:rsidR="00157978">
        <w:rPr>
          <w:rFonts w:ascii="仿宋_GB2312" w:eastAsia="仿宋_GB2312" w:hAnsi="ˎ̥" w:hint="eastAsia"/>
          <w:color w:val="FF0000"/>
          <w:sz w:val="32"/>
          <w:szCs w:val="32"/>
        </w:rPr>
        <w:t>33.41</w:t>
      </w:r>
      <w:r>
        <w:rPr>
          <w:rFonts w:ascii="仿宋_GB2312" w:eastAsia="仿宋_GB2312" w:hAnsi="ˎ̥" w:hint="eastAsia"/>
          <w:sz w:val="32"/>
          <w:szCs w:val="32"/>
        </w:rPr>
        <w:t>万元（为部门决算中行政单位和参公事业单位财政拨款基本支出中公用经费支出之和，事业单位没有机关运行经费支出）完成预算的</w:t>
      </w:r>
      <w:r w:rsidR="00157978">
        <w:rPr>
          <w:rFonts w:ascii="仿宋_GB2312" w:eastAsia="仿宋_GB2312" w:hAnsi="ˎ̥" w:hint="eastAsia"/>
          <w:color w:val="FF0000"/>
          <w:sz w:val="32"/>
          <w:szCs w:val="32"/>
        </w:rPr>
        <w:t>99.8</w:t>
      </w:r>
      <w:r>
        <w:rPr>
          <w:rFonts w:ascii="仿宋_GB2312" w:eastAsia="仿宋_GB2312" w:hAnsi="ˎ̥" w:hint="eastAsia"/>
          <w:sz w:val="32"/>
          <w:szCs w:val="32"/>
        </w:rPr>
        <w:t>%。</w:t>
      </w:r>
    </w:p>
    <w:p w:rsidR="00920BEE" w:rsidRDefault="00DA3F19">
      <w:pPr>
        <w:spacing w:line="578" w:lineRule="exact"/>
        <w:ind w:firstLineChars="200" w:firstLine="640"/>
        <w:rPr>
          <w:rFonts w:ascii="楷体" w:eastAsia="楷体" w:hAnsi="楷体" w:cs="楷体"/>
          <w:bCs/>
          <w:sz w:val="32"/>
          <w:szCs w:val="32"/>
        </w:rPr>
      </w:pPr>
      <w:bookmarkStart w:id="102" w:name="_Toc30383_WPSOffice_Level2"/>
      <w:bookmarkStart w:id="103" w:name="_Toc25333_WPSOffice_Level2"/>
      <w:bookmarkStart w:id="104" w:name="_Toc3131_WPSOffice_Level2"/>
      <w:bookmarkStart w:id="105" w:name="_Toc13084_WPSOffice_Level2"/>
      <w:bookmarkStart w:id="106" w:name="_Toc32689_WPSOffice_Level2"/>
      <w:bookmarkStart w:id="107" w:name="_Toc23966_WPSOffice_Level2"/>
      <w:r>
        <w:rPr>
          <w:rFonts w:ascii="楷体" w:eastAsia="楷体" w:hAnsi="楷体" w:cs="楷体" w:hint="eastAsia"/>
          <w:bCs/>
          <w:sz w:val="32"/>
          <w:szCs w:val="32"/>
        </w:rPr>
        <w:t>（二）政府采购支出情况</w:t>
      </w:r>
      <w:bookmarkEnd w:id="102"/>
      <w:bookmarkEnd w:id="103"/>
      <w:bookmarkEnd w:id="104"/>
      <w:bookmarkEnd w:id="105"/>
      <w:bookmarkEnd w:id="106"/>
      <w:bookmarkEnd w:id="107"/>
    </w:p>
    <w:p w:rsidR="00920BEE" w:rsidRDefault="00DA3F19">
      <w:pPr>
        <w:spacing w:line="578" w:lineRule="exact"/>
        <w:ind w:firstLineChars="200" w:firstLine="640"/>
        <w:jc w:val="lef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157978">
        <w:rPr>
          <w:rFonts w:ascii="仿宋_GB2312" w:eastAsia="仿宋_GB2312" w:hAnsi="ˎ̥" w:hint="eastAsia"/>
          <w:color w:val="FF0000"/>
          <w:sz w:val="32"/>
          <w:szCs w:val="32"/>
        </w:rPr>
        <w:t>申扎县人民检察院机关</w:t>
      </w:r>
      <w:r>
        <w:rPr>
          <w:rFonts w:ascii="仿宋_GB2312" w:eastAsia="仿宋_GB2312" w:hAnsi="ˎ̥" w:hint="eastAsia"/>
          <w:sz w:val="32"/>
          <w:szCs w:val="32"/>
        </w:rPr>
        <w:t>政府采购支出总额</w:t>
      </w:r>
      <w:r w:rsidR="00157978">
        <w:rPr>
          <w:rFonts w:ascii="仿宋_GB2312" w:eastAsia="仿宋_GB2312" w:hAnsi="ˎ̥" w:hint="eastAsia"/>
          <w:color w:val="FF0000"/>
          <w:sz w:val="32"/>
          <w:szCs w:val="32"/>
        </w:rPr>
        <w:t>0</w:t>
      </w:r>
      <w:r>
        <w:rPr>
          <w:rFonts w:ascii="仿宋_GB2312" w:eastAsia="仿宋_GB2312" w:hAnsi="ˎ̥" w:hint="eastAsia"/>
          <w:sz w:val="32"/>
          <w:szCs w:val="32"/>
        </w:rPr>
        <w:t>万元。</w:t>
      </w:r>
    </w:p>
    <w:p w:rsidR="00920BEE" w:rsidRDefault="00DA3F19">
      <w:pPr>
        <w:spacing w:line="578" w:lineRule="exact"/>
        <w:ind w:firstLineChars="200" w:firstLine="640"/>
        <w:rPr>
          <w:rFonts w:ascii="楷体" w:eastAsia="楷体" w:hAnsi="楷体" w:cs="楷体"/>
          <w:bCs/>
          <w:sz w:val="32"/>
          <w:szCs w:val="32"/>
        </w:rPr>
      </w:pPr>
      <w:bookmarkStart w:id="108" w:name="_Toc10902_WPSOffice_Level2"/>
      <w:bookmarkStart w:id="109" w:name="_Toc15129_WPSOffice_Level2"/>
      <w:bookmarkStart w:id="110" w:name="_Toc527_WPSOffice_Level2"/>
      <w:bookmarkStart w:id="111" w:name="_Toc29584_WPSOffice_Level2"/>
      <w:bookmarkStart w:id="112" w:name="_Toc19989_WPSOffice_Level2"/>
      <w:bookmarkStart w:id="113" w:name="_Toc6016_WPSOffice_Level2"/>
      <w:r>
        <w:rPr>
          <w:rFonts w:ascii="楷体" w:eastAsia="楷体" w:hAnsi="楷体" w:cs="楷体" w:hint="eastAsia"/>
          <w:bCs/>
          <w:sz w:val="32"/>
          <w:szCs w:val="32"/>
        </w:rPr>
        <w:t>（三）国有资产占用情况</w:t>
      </w:r>
      <w:bookmarkEnd w:id="108"/>
      <w:bookmarkEnd w:id="109"/>
      <w:bookmarkEnd w:id="110"/>
      <w:bookmarkEnd w:id="111"/>
      <w:bookmarkEnd w:id="112"/>
      <w:bookmarkEnd w:id="113"/>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截至</w:t>
      </w:r>
      <w:r>
        <w:rPr>
          <w:rFonts w:ascii="仿宋_GB2312" w:eastAsia="仿宋_GB2312" w:hAnsi="ˎ̥"/>
          <w:bCs/>
          <w:sz w:val="32"/>
          <w:szCs w:val="32"/>
        </w:rPr>
        <w:t>2024</w:t>
      </w:r>
      <w:r>
        <w:rPr>
          <w:rFonts w:ascii="仿宋_GB2312" w:eastAsia="仿宋_GB2312" w:hAnsi="ˎ̥" w:hint="eastAsia"/>
          <w:bCs/>
          <w:sz w:val="32"/>
          <w:szCs w:val="32"/>
        </w:rPr>
        <w:t>年12月31日，本部门拥有</w:t>
      </w:r>
      <w:r>
        <w:rPr>
          <w:rFonts w:ascii="仿宋_GB2312" w:eastAsia="仿宋_GB2312" w:hAnsi="ˎ̥" w:hint="eastAsia"/>
          <w:sz w:val="32"/>
          <w:szCs w:val="32"/>
        </w:rPr>
        <w:t>房屋面积</w:t>
      </w:r>
      <w:r w:rsidR="00157978">
        <w:rPr>
          <w:rFonts w:ascii="仿宋_GB2312" w:eastAsia="仿宋_GB2312" w:hAnsi="ˎ̥" w:hint="eastAsia"/>
          <w:color w:val="FF0000"/>
          <w:sz w:val="32"/>
          <w:szCs w:val="32"/>
        </w:rPr>
        <w:t>3216.22</w:t>
      </w:r>
      <w:r>
        <w:rPr>
          <w:rFonts w:ascii="仿宋_GB2312" w:eastAsia="仿宋_GB2312" w:hAnsi="ˎ̥" w:hint="eastAsia"/>
          <w:sz w:val="32"/>
          <w:szCs w:val="32"/>
        </w:rPr>
        <w:t>平方米。</w:t>
      </w:r>
    </w:p>
    <w:p w:rsidR="00920BEE" w:rsidRPr="009F02BE" w:rsidRDefault="00DA3F19" w:rsidP="009F02BE">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本部门共有车辆</w:t>
      </w:r>
      <w:r w:rsidR="00157978">
        <w:rPr>
          <w:rFonts w:ascii="仿宋_GB2312" w:eastAsia="仿宋_GB2312" w:hAnsi="ˎ̥" w:hint="eastAsia"/>
          <w:color w:val="FF0000"/>
          <w:sz w:val="32"/>
          <w:szCs w:val="32"/>
        </w:rPr>
        <w:t>3</w:t>
      </w:r>
      <w:r>
        <w:rPr>
          <w:rFonts w:ascii="仿宋_GB2312" w:eastAsia="仿宋_GB2312" w:hAnsi="ˎ̥" w:hint="eastAsia"/>
          <w:sz w:val="32"/>
          <w:szCs w:val="32"/>
        </w:rPr>
        <w:t>辆，其中，执法执勤用车</w:t>
      </w:r>
      <w:r w:rsidR="00157978">
        <w:rPr>
          <w:rFonts w:ascii="仿宋_GB2312" w:eastAsia="仿宋_GB2312" w:hAnsi="ˎ̥" w:hint="eastAsia"/>
          <w:color w:val="FF0000"/>
          <w:sz w:val="32"/>
          <w:szCs w:val="32"/>
        </w:rPr>
        <w:t>2</w:t>
      </w:r>
      <w:r>
        <w:rPr>
          <w:rFonts w:ascii="仿宋_GB2312" w:eastAsia="仿宋_GB2312" w:hAnsi="ˎ̥" w:hint="eastAsia"/>
          <w:sz w:val="32"/>
          <w:szCs w:val="32"/>
        </w:rPr>
        <w:t>辆、特种专业技术用车</w:t>
      </w:r>
      <w:r w:rsidR="009F02BE">
        <w:rPr>
          <w:rFonts w:ascii="仿宋_GB2312" w:eastAsia="仿宋_GB2312" w:hAnsi="ˎ̥" w:hint="eastAsia"/>
          <w:color w:val="FF0000"/>
          <w:sz w:val="32"/>
          <w:szCs w:val="32"/>
        </w:rPr>
        <w:t>1</w:t>
      </w:r>
      <w:r>
        <w:rPr>
          <w:rFonts w:ascii="仿宋_GB2312" w:eastAsia="仿宋_GB2312" w:hAnsi="ˎ̥" w:hint="eastAsia"/>
          <w:sz w:val="32"/>
          <w:szCs w:val="32"/>
        </w:rPr>
        <w:t>辆。</w:t>
      </w:r>
      <w:bookmarkStart w:id="114" w:name="_Toc8808_WPSOffice_Level1"/>
      <w:bookmarkStart w:id="115" w:name="_Toc8874_WPSOffice_Level1"/>
      <w:bookmarkStart w:id="116" w:name="_Toc11039_WPSOffice_Level1"/>
      <w:bookmarkStart w:id="117" w:name="_Toc15425_WPSOffice_Level1"/>
      <w:bookmarkStart w:id="118" w:name="_Toc4398_WPSOffice_Level1"/>
      <w:bookmarkStart w:id="119" w:name="_Toc17580_WPSOffice_Level1"/>
    </w:p>
    <w:p w:rsidR="00920BEE" w:rsidRDefault="00DA3F19">
      <w:pPr>
        <w:spacing w:line="578" w:lineRule="exact"/>
        <w:jc w:val="center"/>
        <w:rPr>
          <w:rFonts w:ascii="黑体" w:eastAsia="黑体" w:hAnsi="ˎ̥"/>
          <w:sz w:val="32"/>
          <w:szCs w:val="32"/>
        </w:rPr>
      </w:pPr>
      <w:r>
        <w:rPr>
          <w:rFonts w:ascii="黑体" w:eastAsia="黑体" w:hAnsi="ˎ̥" w:hint="eastAsia"/>
          <w:sz w:val="32"/>
          <w:szCs w:val="32"/>
        </w:rPr>
        <w:t>第四部分  名词解释</w:t>
      </w:r>
      <w:bookmarkEnd w:id="114"/>
      <w:bookmarkEnd w:id="115"/>
      <w:bookmarkEnd w:id="116"/>
      <w:bookmarkEnd w:id="117"/>
      <w:bookmarkEnd w:id="118"/>
      <w:bookmarkEnd w:id="119"/>
    </w:p>
    <w:p w:rsidR="00920BEE" w:rsidRDefault="00920BEE">
      <w:pPr>
        <w:spacing w:line="578" w:lineRule="exact"/>
        <w:jc w:val="center"/>
        <w:rPr>
          <w:rFonts w:ascii="黑体" w:eastAsia="黑体" w:hAnsi="ˎ̥"/>
          <w:sz w:val="32"/>
          <w:szCs w:val="32"/>
        </w:rPr>
      </w:pPr>
    </w:p>
    <w:p w:rsidR="00920BEE" w:rsidRDefault="00DA3F19">
      <w:pPr>
        <w:numPr>
          <w:ilvl w:val="0"/>
          <w:numId w:val="2"/>
        </w:num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财政拨款收入：指同级政府财政部门当年拨付的各类财政拨款。</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二、上级补助收入：指事业单位从主管部门和上级单位取得的非财政补助收入。</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三、事业收入：指事业单位开展专业业务活动及辅助活动取得的收入。</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四、经营收入：指事业单位在专业业务活动及其辅助活动之外开展非独立核算经营活动取得的收入。</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五、附属单位上缴收入：指事业单位取得附属独立核算单位根据有关规定上缴的收入。</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六、其他收入：指除上述“财政拨款收入”“事业收入”“上级补助收入”“经营收入”“附属单位上缴收入”等以外的收入。</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七、使用非财政拨款结余：指事业单位在当年的“财政拨款收入”“事业收入”“经营收入”“其他收入”等不足以安排当年支出的情况下，使用非同级财政拨款结余资金弥补本年度收支缺口。</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八、年初结转和结余：指以前年度尚未完成、结转到本年按有关规定继续使用的资金，或项目已完成等产生的结余资金。</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九、结余分配：指事业单位缴纳企业所得税以及从非财政拨款结余或经营结余中提取各类结余的情况。</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十、年末结转和结余：指本年度或以前年度预算安排、因客观条件发生变化无法按原计划实施，需要延迟到以后年度按有关规定继续使用的资金（不包括事业单位非财政拨款结余和专用结余）。</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十一、基本支出：指为保障机构正常运转、完成日常工作任务而发生的人员支出和公用支出。</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十二、项目支出：指在基本支出之外为完成特定行政任务和事业发展目标所发生的支出。</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十三、经营支出：指事业单位在专业业务活动及其辅助活动之外开展非独立核算经营活动发生的支出。</w:t>
      </w:r>
    </w:p>
    <w:p w:rsidR="00920BEE" w:rsidRDefault="00DA3F1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rsidR="00920BEE" w:rsidRDefault="00DA3F19">
      <w:pPr>
        <w:spacing w:line="578" w:lineRule="exact"/>
        <w:ind w:firstLine="645"/>
        <w:rPr>
          <w:rFonts w:ascii="仿宋_GB2312" w:eastAsia="仿宋_GB2312" w:hAnsi="ˎ̥"/>
          <w:sz w:val="32"/>
          <w:szCs w:val="32"/>
        </w:rPr>
      </w:pPr>
      <w:r>
        <w:rPr>
          <w:rFonts w:ascii="仿宋_GB2312" w:eastAsia="仿宋_GB2312" w:hAnsi="ˎ̥" w:hint="eastAsia"/>
          <w:sz w:val="32"/>
          <w:szCs w:val="32"/>
        </w:rPr>
        <w:lastRenderedPageBreak/>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920BEE" w:rsidRDefault="00920BEE">
      <w:pPr>
        <w:spacing w:line="578" w:lineRule="exact"/>
      </w:pPr>
    </w:p>
    <w:sectPr w:rsidR="00920BEE" w:rsidSect="00DA3F19">
      <w:footerReference w:type="even" r:id="rId7"/>
      <w:footerReference w:type="default" r:id="rId8"/>
      <w:pgSz w:w="16838" w:h="11906" w:orient="landscape"/>
      <w:pgMar w:top="1474" w:right="1984" w:bottom="1587" w:left="209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14" w:rsidRDefault="006F5514" w:rsidP="00920BEE">
      <w:r>
        <w:separator/>
      </w:r>
    </w:p>
  </w:endnote>
  <w:endnote w:type="continuationSeparator" w:id="1">
    <w:p w:rsidR="006F5514" w:rsidRDefault="006F5514" w:rsidP="00920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5B1" w:rsidRDefault="003E15B1">
    <w:pPr>
      <w:pStyle w:val="a5"/>
      <w:framePr w:wrap="around" w:vAnchor="text" w:hAnchor="margin" w:xAlign="center" w:y="1"/>
      <w:rPr>
        <w:rStyle w:val="a8"/>
      </w:rPr>
    </w:pPr>
    <w:r>
      <w:fldChar w:fldCharType="begin"/>
    </w:r>
    <w:r>
      <w:rPr>
        <w:rStyle w:val="a8"/>
      </w:rPr>
      <w:instrText xml:space="preserve">PAGE  </w:instrText>
    </w:r>
    <w:r>
      <w:fldChar w:fldCharType="end"/>
    </w:r>
  </w:p>
  <w:p w:rsidR="003E15B1" w:rsidRDefault="003E15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5B1" w:rsidRDefault="003E15B1">
    <w:pPr>
      <w:pStyle w:val="a5"/>
      <w:framePr w:wrap="around" w:vAnchor="text" w:hAnchor="margin" w:xAlign="center" w:y="1"/>
      <w:rPr>
        <w:rStyle w:val="a8"/>
      </w:rPr>
    </w:pPr>
    <w:r>
      <w:fldChar w:fldCharType="begin"/>
    </w:r>
    <w:r>
      <w:rPr>
        <w:rStyle w:val="a8"/>
      </w:rPr>
      <w:instrText xml:space="preserve">PAGE  </w:instrText>
    </w:r>
    <w:r>
      <w:fldChar w:fldCharType="separate"/>
    </w:r>
    <w:r w:rsidR="00310B12">
      <w:rPr>
        <w:rStyle w:val="a8"/>
        <w:noProof/>
      </w:rPr>
      <w:t>7</w:t>
    </w:r>
    <w:r>
      <w:fldChar w:fldCharType="end"/>
    </w:r>
  </w:p>
  <w:p w:rsidR="003E15B1" w:rsidRDefault="003E15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14" w:rsidRDefault="006F5514" w:rsidP="00920BEE">
      <w:r>
        <w:separator/>
      </w:r>
    </w:p>
  </w:footnote>
  <w:footnote w:type="continuationSeparator" w:id="1">
    <w:p w:rsidR="006F5514" w:rsidRDefault="006F5514" w:rsidP="00920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VlZThlZDk5ZTQ4MTFjNGY3MjIxNTdiOWMzZmQwMWMifQ=="/>
  </w:docVars>
  <w:rsids>
    <w:rsidRoot w:val="A7F73C99"/>
    <w:rsid w:val="8FFC8888"/>
    <w:rsid w:val="A7F73C99"/>
    <w:rsid w:val="BFFE3BF4"/>
    <w:rsid w:val="DFEBDA37"/>
    <w:rsid w:val="EF6FCA1D"/>
    <w:rsid w:val="EFFF57D6"/>
    <w:rsid w:val="FD33A2D0"/>
    <w:rsid w:val="FF7FA20F"/>
    <w:rsid w:val="FFFE81A3"/>
    <w:rsid w:val="00064A91"/>
    <w:rsid w:val="000718C4"/>
    <w:rsid w:val="000779B0"/>
    <w:rsid w:val="00117D14"/>
    <w:rsid w:val="00157978"/>
    <w:rsid w:val="001E4E23"/>
    <w:rsid w:val="001E510D"/>
    <w:rsid w:val="001F28C1"/>
    <w:rsid w:val="001F4EC0"/>
    <w:rsid w:val="00213789"/>
    <w:rsid w:val="002560CC"/>
    <w:rsid w:val="002A6E07"/>
    <w:rsid w:val="00310B12"/>
    <w:rsid w:val="0034456B"/>
    <w:rsid w:val="003D2F77"/>
    <w:rsid w:val="003E15B1"/>
    <w:rsid w:val="00452A76"/>
    <w:rsid w:val="004C755C"/>
    <w:rsid w:val="004D515A"/>
    <w:rsid w:val="004D5572"/>
    <w:rsid w:val="0050273F"/>
    <w:rsid w:val="00513897"/>
    <w:rsid w:val="00530C81"/>
    <w:rsid w:val="005509F1"/>
    <w:rsid w:val="005C43A2"/>
    <w:rsid w:val="005E64FB"/>
    <w:rsid w:val="005F5987"/>
    <w:rsid w:val="00602EED"/>
    <w:rsid w:val="00604561"/>
    <w:rsid w:val="006B0D64"/>
    <w:rsid w:val="006F5514"/>
    <w:rsid w:val="00731FC7"/>
    <w:rsid w:val="00740E64"/>
    <w:rsid w:val="00754F6E"/>
    <w:rsid w:val="007832EF"/>
    <w:rsid w:val="007A4101"/>
    <w:rsid w:val="008232A9"/>
    <w:rsid w:val="00875786"/>
    <w:rsid w:val="00896ADB"/>
    <w:rsid w:val="00896BF1"/>
    <w:rsid w:val="00920BEE"/>
    <w:rsid w:val="009417DC"/>
    <w:rsid w:val="009A2744"/>
    <w:rsid w:val="009E4DA8"/>
    <w:rsid w:val="009F02BE"/>
    <w:rsid w:val="00A54A37"/>
    <w:rsid w:val="00A70448"/>
    <w:rsid w:val="00A90DC8"/>
    <w:rsid w:val="00AA19F3"/>
    <w:rsid w:val="00AC28EE"/>
    <w:rsid w:val="00AC3F0E"/>
    <w:rsid w:val="00AD082B"/>
    <w:rsid w:val="00B36E61"/>
    <w:rsid w:val="00B409FF"/>
    <w:rsid w:val="00B4133E"/>
    <w:rsid w:val="00B54D1C"/>
    <w:rsid w:val="00B54DE8"/>
    <w:rsid w:val="00B63E9E"/>
    <w:rsid w:val="00BC0439"/>
    <w:rsid w:val="00C04C21"/>
    <w:rsid w:val="00C6356F"/>
    <w:rsid w:val="00C7436A"/>
    <w:rsid w:val="00CA0F14"/>
    <w:rsid w:val="00CA536B"/>
    <w:rsid w:val="00CB0D1E"/>
    <w:rsid w:val="00CD6E49"/>
    <w:rsid w:val="00CD794A"/>
    <w:rsid w:val="00CF2FE6"/>
    <w:rsid w:val="00D13475"/>
    <w:rsid w:val="00DA3F19"/>
    <w:rsid w:val="00DB612B"/>
    <w:rsid w:val="00DC2A37"/>
    <w:rsid w:val="00E07782"/>
    <w:rsid w:val="00E21379"/>
    <w:rsid w:val="00E70EA3"/>
    <w:rsid w:val="00F01F72"/>
    <w:rsid w:val="00F0336A"/>
    <w:rsid w:val="00F06DA9"/>
    <w:rsid w:val="00F103D6"/>
    <w:rsid w:val="00F213B4"/>
    <w:rsid w:val="00F25220"/>
    <w:rsid w:val="00FA2884"/>
    <w:rsid w:val="00FC03DC"/>
    <w:rsid w:val="00FC5708"/>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B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20BEE"/>
    <w:pPr>
      <w:jc w:val="left"/>
    </w:pPr>
  </w:style>
  <w:style w:type="paragraph" w:styleId="a4">
    <w:name w:val="Balloon Text"/>
    <w:basedOn w:val="a"/>
    <w:link w:val="Char0"/>
    <w:qFormat/>
    <w:rsid w:val="00920BEE"/>
    <w:rPr>
      <w:sz w:val="18"/>
      <w:szCs w:val="18"/>
    </w:rPr>
  </w:style>
  <w:style w:type="paragraph" w:styleId="a5">
    <w:name w:val="footer"/>
    <w:basedOn w:val="a"/>
    <w:qFormat/>
    <w:rsid w:val="00920BEE"/>
    <w:pPr>
      <w:tabs>
        <w:tab w:val="center" w:pos="4153"/>
        <w:tab w:val="right" w:pos="8306"/>
      </w:tabs>
      <w:snapToGrid w:val="0"/>
      <w:jc w:val="left"/>
    </w:pPr>
    <w:rPr>
      <w:sz w:val="18"/>
      <w:szCs w:val="18"/>
    </w:rPr>
  </w:style>
  <w:style w:type="paragraph" w:styleId="a6">
    <w:name w:val="header"/>
    <w:basedOn w:val="a"/>
    <w:link w:val="Char1"/>
    <w:qFormat/>
    <w:rsid w:val="00920BE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sid w:val="00920BEE"/>
    <w:rPr>
      <w:b/>
      <w:bCs/>
    </w:rPr>
  </w:style>
  <w:style w:type="character" w:styleId="a8">
    <w:name w:val="page number"/>
    <w:qFormat/>
    <w:rsid w:val="00920BEE"/>
  </w:style>
  <w:style w:type="character" w:styleId="a9">
    <w:name w:val="annotation reference"/>
    <w:qFormat/>
    <w:rsid w:val="00920BEE"/>
    <w:rPr>
      <w:sz w:val="21"/>
      <w:szCs w:val="21"/>
    </w:rPr>
  </w:style>
  <w:style w:type="character" w:customStyle="1" w:styleId="Char">
    <w:name w:val="批注文字 Char"/>
    <w:link w:val="a3"/>
    <w:qFormat/>
    <w:rsid w:val="00920BEE"/>
    <w:rPr>
      <w:kern w:val="2"/>
      <w:sz w:val="21"/>
      <w:szCs w:val="24"/>
    </w:rPr>
  </w:style>
  <w:style w:type="character" w:customStyle="1" w:styleId="Char0">
    <w:name w:val="批注框文本 Char"/>
    <w:link w:val="a4"/>
    <w:qFormat/>
    <w:rsid w:val="00920BEE"/>
    <w:rPr>
      <w:kern w:val="2"/>
      <w:sz w:val="18"/>
      <w:szCs w:val="18"/>
    </w:rPr>
  </w:style>
  <w:style w:type="character" w:customStyle="1" w:styleId="Char1">
    <w:name w:val="页眉 Char"/>
    <w:link w:val="a6"/>
    <w:qFormat/>
    <w:rsid w:val="00920BEE"/>
    <w:rPr>
      <w:kern w:val="2"/>
      <w:sz w:val="18"/>
      <w:szCs w:val="18"/>
    </w:rPr>
  </w:style>
  <w:style w:type="character" w:customStyle="1" w:styleId="Char2">
    <w:name w:val="批注主题 Char"/>
    <w:link w:val="a7"/>
    <w:qFormat/>
    <w:rsid w:val="00920BEE"/>
    <w:rPr>
      <w:b/>
      <w:bCs/>
      <w:kern w:val="2"/>
      <w:sz w:val="21"/>
      <w:szCs w:val="24"/>
    </w:rPr>
  </w:style>
  <w:style w:type="paragraph" w:customStyle="1" w:styleId="WPSOffice1">
    <w:name w:val="WPSOffice手动目录 1"/>
    <w:qFormat/>
    <w:rsid w:val="00920BEE"/>
  </w:style>
  <w:style w:type="paragraph" w:customStyle="1" w:styleId="WPSOffice2">
    <w:name w:val="WPSOffice手动目录 2"/>
    <w:qFormat/>
    <w:rsid w:val="00920BEE"/>
    <w:pPr>
      <w:ind w:leftChars="200" w:left="200"/>
    </w:pPr>
  </w:style>
  <w:style w:type="paragraph" w:customStyle="1" w:styleId="1CharCharChar">
    <w:name w:val="正文1 Char Char Char"/>
    <w:basedOn w:val="a"/>
    <w:qFormat/>
    <w:rsid w:val="00920BEE"/>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qwe</cp:lastModifiedBy>
  <cp:revision>12</cp:revision>
  <cp:lastPrinted>2023-08-03T00:58:00Z</cp:lastPrinted>
  <dcterms:created xsi:type="dcterms:W3CDTF">2025-09-15T02:02:00Z</dcterms:created>
  <dcterms:modified xsi:type="dcterms:W3CDTF">2025-09-15T04:26:00Z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