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E356A">
      <w:pPr>
        <w:spacing w:line="578"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那曲市市场监督管理局机关2024年度部门决算公开报告</w:t>
      </w:r>
    </w:p>
    <w:p w14:paraId="1E8F4CF7">
      <w:pPr>
        <w:spacing w:line="578"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（公开文字说明参考模板）</w:t>
      </w:r>
    </w:p>
    <w:p w14:paraId="6C2B2D3A">
      <w:pPr>
        <w:spacing w:line="578" w:lineRule="exact"/>
        <w:jc w:val="center"/>
        <w:rPr>
          <w:rFonts w:hint="eastAsia" w:ascii="黑体" w:hAnsi="ˎ̥" w:eastAsia="黑体"/>
          <w:b/>
          <w:sz w:val="32"/>
          <w:szCs w:val="32"/>
        </w:rPr>
      </w:pPr>
    </w:p>
    <w:p w14:paraId="6A8F1018">
      <w:pPr>
        <w:spacing w:line="578" w:lineRule="exact"/>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14:paraId="6A2F743B">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_Toc1704_WPSOffice_Level1 </w:instrText>
      </w:r>
      <w:r>
        <w:rPr>
          <w:sz w:val="32"/>
          <w:szCs w:val="32"/>
        </w:rPr>
        <w:fldChar w:fldCharType="separate"/>
      </w:r>
      <w:r>
        <w:rPr>
          <w:rFonts w:hint="eastAsia" w:ascii="黑体" w:hAnsi="ˎ̥" w:eastAsia="黑体"/>
          <w:sz w:val="32"/>
          <w:szCs w:val="32"/>
        </w:rPr>
        <w:t>第一部分 基本情况</w:t>
      </w:r>
      <w:r>
        <w:rPr>
          <w:sz w:val="32"/>
          <w:szCs w:val="32"/>
        </w:rPr>
        <w:tab/>
      </w:r>
      <w:r>
        <w:rPr>
          <w:sz w:val="32"/>
          <w:szCs w:val="32"/>
        </w:rPr>
        <w:fldChar w:fldCharType="end"/>
      </w:r>
      <w:r>
        <w:rPr>
          <w:rFonts w:hint="eastAsia"/>
          <w:sz w:val="32"/>
          <w:szCs w:val="32"/>
        </w:rPr>
        <w:t>2</w:t>
      </w:r>
    </w:p>
    <w:p w14:paraId="29CBFE79">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一、部门（单位）职责</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14:paraId="09089809">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14:paraId="3B013F23">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_Toc28253_WPSOffice_Level1 </w:instrText>
      </w:r>
      <w:r>
        <w:rPr>
          <w:sz w:val="32"/>
          <w:szCs w:val="32"/>
        </w:rPr>
        <w:fldChar w:fldCharType="separate"/>
      </w: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年度部门决算公开表</w:t>
      </w:r>
      <w:r>
        <w:rPr>
          <w:sz w:val="32"/>
          <w:szCs w:val="32"/>
        </w:rPr>
        <w:tab/>
      </w:r>
      <w:r>
        <w:rPr>
          <w:sz w:val="32"/>
          <w:szCs w:val="32"/>
        </w:rPr>
        <w:fldChar w:fldCharType="end"/>
      </w:r>
      <w:r>
        <w:rPr>
          <w:rFonts w:hint="eastAsia"/>
          <w:sz w:val="32"/>
          <w:szCs w:val="32"/>
        </w:rPr>
        <w:t>2</w:t>
      </w:r>
    </w:p>
    <w:p w14:paraId="6E57563D">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_Toc27590_WPSOffice_Level1 </w:instrText>
      </w:r>
      <w:r>
        <w:rPr>
          <w:sz w:val="32"/>
          <w:szCs w:val="32"/>
        </w:rPr>
        <w:fldChar w:fldCharType="separate"/>
      </w:r>
      <w:r>
        <w:rPr>
          <w:rFonts w:hint="eastAsia" w:ascii="黑体" w:hAnsi="黑体" w:eastAsia="黑体" w:cs="黑体"/>
          <w:sz w:val="32"/>
          <w:szCs w:val="32"/>
        </w:rPr>
        <w:t>第三部分</w:t>
      </w:r>
      <w:r>
        <w:rPr>
          <w:rFonts w:hint="eastAsia"/>
          <w:sz w:val="32"/>
          <w:szCs w:val="32"/>
        </w:rPr>
        <w:t xml:space="preserve">  </w:t>
      </w:r>
      <w:r>
        <w:rPr>
          <w:rFonts w:hint="default" w:ascii="黑体" w:hAnsi="ˎ̥" w:eastAsia="黑体"/>
          <w:sz w:val="32"/>
          <w:szCs w:val="32"/>
          <w:lang w:val="en-US"/>
        </w:rPr>
        <w:t>2024</w:t>
      </w:r>
      <w:r>
        <w:rPr>
          <w:rFonts w:hint="eastAsia" w:ascii="黑体" w:hAnsi="ˎ̥" w:eastAsia="黑体"/>
          <w:sz w:val="32"/>
          <w:szCs w:val="32"/>
        </w:rPr>
        <w:t>年度部门决算情况说明</w:t>
      </w:r>
      <w:r>
        <w:rPr>
          <w:sz w:val="32"/>
          <w:szCs w:val="32"/>
        </w:rPr>
        <w:tab/>
      </w:r>
      <w:r>
        <w:rPr>
          <w:sz w:val="32"/>
          <w:szCs w:val="32"/>
        </w:rPr>
        <w:fldChar w:fldCharType="end"/>
      </w:r>
      <w:r>
        <w:rPr>
          <w:rFonts w:hint="eastAsia"/>
          <w:sz w:val="32"/>
          <w:szCs w:val="32"/>
        </w:rPr>
        <w:t>3</w:t>
      </w:r>
    </w:p>
    <w:p w14:paraId="65C40179">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一、收入支出总体情况说明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3</w:t>
      </w:r>
    </w:p>
    <w:p w14:paraId="4BD7D57F">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0C54764D">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51FC70A3">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w:t>
      </w:r>
      <w:r>
        <w:rPr>
          <w:rFonts w:hint="eastAsia" w:ascii="仿宋" w:hAnsi="仿宋" w:eastAsia="仿宋" w:cs="仿宋"/>
          <w:bCs/>
          <w:sz w:val="32"/>
          <w:szCs w:val="32"/>
          <w:lang w:val="en-US" w:eastAsia="zh-CN"/>
        </w:rPr>
        <w:t>总体</w:t>
      </w:r>
      <w:r>
        <w:rPr>
          <w:rFonts w:hint="eastAsia" w:ascii="仿宋" w:hAnsi="仿宋" w:eastAsia="仿宋" w:cs="仿宋"/>
          <w:bCs/>
          <w:sz w:val="32"/>
          <w:szCs w:val="32"/>
        </w:rPr>
        <w:t>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7A0C8420">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5</w:t>
      </w:r>
    </w:p>
    <w:p w14:paraId="0F3513AE">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rPr>
        <w:t>6</w:t>
      </w:r>
    </w:p>
    <w:p w14:paraId="14C271AC">
      <w:pPr>
        <w:pStyle w:val="16"/>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政府性基金预算财政拨款支出决算情况说明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7</w:t>
      </w:r>
    </w:p>
    <w:p w14:paraId="341B0484">
      <w:pPr>
        <w:pStyle w:val="16"/>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国有资本经营预算财政拨款支出决算情况说明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8</w:t>
      </w:r>
    </w:p>
    <w:p w14:paraId="4A5010BD">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9</w:t>
      </w:r>
    </w:p>
    <w:p w14:paraId="23F091F4">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11</w:t>
      </w:r>
    </w:p>
    <w:p w14:paraId="11226842">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十一、其他重要事项情况说明</w:t>
      </w:r>
      <w:r>
        <w:rPr>
          <w:rFonts w:hint="eastAsia" w:ascii="仿宋" w:hAnsi="仿宋" w:eastAsia="仿宋" w:cs="仿宋"/>
          <w:sz w:val="32"/>
          <w:szCs w:val="32"/>
        </w:rPr>
        <w:tab/>
      </w:r>
      <w:r>
        <w:rPr>
          <w:rFonts w:hint="eastAsia" w:ascii="仿宋" w:hAnsi="仿宋" w:eastAsia="仿宋" w:cs="仿宋"/>
          <w:sz w:val="32"/>
          <w:szCs w:val="32"/>
        </w:rPr>
        <w:t>13</w:t>
      </w:r>
    </w:p>
    <w:p w14:paraId="1704E608">
      <w:pPr>
        <w:pStyle w:val="15"/>
        <w:tabs>
          <w:tab w:val="right" w:leader="dot" w:pos="8306"/>
        </w:tabs>
        <w:spacing w:line="578" w:lineRule="exact"/>
        <w:rPr>
          <w:rFonts w:hint="eastAsia" w:ascii="黑体" w:hAnsi="ˎ̥"/>
          <w:b/>
          <w:sz w:val="32"/>
          <w:szCs w:val="32"/>
        </w:rPr>
      </w:pPr>
      <w:r>
        <w:rPr>
          <w:sz w:val="32"/>
          <w:szCs w:val="32"/>
        </w:rPr>
        <w:fldChar w:fldCharType="begin"/>
      </w:r>
      <w:r>
        <w:rPr>
          <w:sz w:val="32"/>
          <w:szCs w:val="32"/>
        </w:rPr>
        <w:instrText xml:space="preserve"> HYPERLINK \l _Toc15425_WPSOffice_Level1 </w:instrText>
      </w:r>
      <w:r>
        <w:rPr>
          <w:sz w:val="32"/>
          <w:szCs w:val="32"/>
        </w:rPr>
        <w:fldChar w:fldCharType="separate"/>
      </w:r>
      <w:r>
        <w:rPr>
          <w:rFonts w:hint="eastAsia" w:ascii="黑体" w:hAnsi="ˎ̥" w:eastAsia="黑体"/>
          <w:sz w:val="32"/>
          <w:szCs w:val="32"/>
        </w:rPr>
        <w:t>第四部分  名词解释</w:t>
      </w:r>
      <w:r>
        <w:rPr>
          <w:sz w:val="32"/>
          <w:szCs w:val="32"/>
        </w:rPr>
        <w:tab/>
      </w:r>
      <w:bookmarkStart w:id="1" w:name="_Toc15425_WPSOffice_Level1Page"/>
      <w:r>
        <w:rPr>
          <w:sz w:val="32"/>
          <w:szCs w:val="32"/>
        </w:rPr>
        <w:t>1</w:t>
      </w:r>
      <w:bookmarkEnd w:id="1"/>
      <w:r>
        <w:rPr>
          <w:sz w:val="32"/>
          <w:szCs w:val="32"/>
        </w:rPr>
        <w:fldChar w:fldCharType="end"/>
      </w:r>
      <w:bookmarkEnd w:id="0"/>
      <w:r>
        <w:rPr>
          <w:rFonts w:hint="eastAsia"/>
          <w:sz w:val="32"/>
          <w:szCs w:val="32"/>
        </w:rPr>
        <w:t>5</w:t>
      </w:r>
    </w:p>
    <w:p w14:paraId="4EC8D6DA">
      <w:pPr>
        <w:spacing w:line="578" w:lineRule="exact"/>
        <w:jc w:val="both"/>
        <w:rPr>
          <w:rFonts w:hint="eastAsia" w:ascii="黑体" w:hAnsi="ˎ̥" w:eastAsia="黑体"/>
          <w:sz w:val="32"/>
          <w:szCs w:val="32"/>
        </w:rPr>
      </w:pPr>
      <w:bookmarkStart w:id="2" w:name="_Toc32433_WPSOffice_Level1"/>
      <w:bookmarkStart w:id="3" w:name="_Toc22941_WPSOffice_Level1"/>
      <w:bookmarkStart w:id="4" w:name="_Toc23465_WPSOffice_Level1"/>
      <w:bookmarkStart w:id="5" w:name="_Toc1704_WPSOffice_Level1"/>
      <w:bookmarkStart w:id="6" w:name="_Toc10049_WPSOffice_Level1"/>
      <w:bookmarkStart w:id="7" w:name="_Toc10720_WPSOffice_Level1"/>
      <w:bookmarkStart w:id="8" w:name="_Toc24238_WPSOffice_Level2"/>
      <w:bookmarkStart w:id="9" w:name="_Toc20274_WPSOffice_Level2"/>
      <w:bookmarkStart w:id="10" w:name="_Toc32622_WPSOffice_Level2"/>
      <w:bookmarkStart w:id="11" w:name="_Toc14159_WPSOffice_Level2"/>
      <w:bookmarkStart w:id="12" w:name="_Toc20205_WPSOffice_Level2"/>
      <w:bookmarkStart w:id="13" w:name="_Toc26580_WPSOffice_Level2"/>
    </w:p>
    <w:p w14:paraId="13495E08">
      <w:pPr>
        <w:spacing w:line="578" w:lineRule="exact"/>
        <w:jc w:val="center"/>
        <w:rPr>
          <w:rFonts w:hint="eastAsia" w:ascii="黑体" w:hAnsi="ˎ̥" w:eastAsia="黑体"/>
          <w:sz w:val="32"/>
          <w:szCs w:val="32"/>
        </w:rPr>
      </w:pPr>
      <w:r>
        <w:rPr>
          <w:rFonts w:hint="eastAsia" w:ascii="黑体" w:hAnsi="ˎ̥" w:eastAsia="黑体"/>
          <w:sz w:val="32"/>
          <w:szCs w:val="32"/>
        </w:rPr>
        <w:t xml:space="preserve">第一部分  </w:t>
      </w:r>
      <w:bookmarkEnd w:id="2"/>
      <w:bookmarkEnd w:id="3"/>
      <w:bookmarkEnd w:id="4"/>
      <w:bookmarkEnd w:id="5"/>
      <w:bookmarkEnd w:id="6"/>
      <w:bookmarkEnd w:id="7"/>
      <w:r>
        <w:rPr>
          <w:rFonts w:hint="eastAsia" w:ascii="黑体" w:hAnsi="ˎ̥" w:eastAsia="黑体"/>
          <w:sz w:val="32"/>
          <w:szCs w:val="32"/>
        </w:rPr>
        <w:t>基本情况</w:t>
      </w:r>
    </w:p>
    <w:p w14:paraId="59DE4DDD">
      <w:pPr>
        <w:spacing w:line="578" w:lineRule="exact"/>
        <w:ind w:firstLine="640" w:firstLineChars="200"/>
        <w:rPr>
          <w:rFonts w:hint="eastAsia" w:ascii="楷体" w:hAnsi="楷体" w:eastAsia="楷体" w:cs="楷体"/>
          <w:sz w:val="32"/>
          <w:szCs w:val="32"/>
        </w:rPr>
      </w:pPr>
    </w:p>
    <w:p w14:paraId="4A3D8885">
      <w:pPr>
        <w:numPr>
          <w:ilvl w:val="0"/>
          <w:numId w:val="2"/>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部门</w:t>
      </w:r>
      <w:bookmarkEnd w:id="8"/>
      <w:r>
        <w:rPr>
          <w:rFonts w:hint="eastAsia" w:ascii="黑体" w:hAnsi="黑体" w:eastAsia="黑体" w:cs="黑体"/>
          <w:sz w:val="32"/>
          <w:szCs w:val="32"/>
        </w:rPr>
        <w:t>（单位）职责</w:t>
      </w:r>
      <w:bookmarkEnd w:id="9"/>
      <w:bookmarkEnd w:id="10"/>
      <w:bookmarkEnd w:id="11"/>
      <w:bookmarkEnd w:id="12"/>
      <w:bookmarkEnd w:id="13"/>
    </w:p>
    <w:p w14:paraId="05940ED1">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（一）负责市场综合监督管理。贯彻执行国家有关市场监督管理的法律法规和政策，研究起草相关地方性法规和重负规章草</w:t>
      </w:r>
      <w:r>
        <w:rPr>
          <w:rFonts w:hint="eastAsia" w:ascii="黑体" w:hAnsi="黑体" w:eastAsia="黑体" w:cs="黑体"/>
          <w:sz w:val="32"/>
          <w:szCs w:val="32"/>
        </w:rPr>
        <w:t>案，组织落实质量强国战略、食品药品安全战略、标准化战略，拟订并组织实施有关规划，组织实施对全市各类市场经管主体的</w:t>
      </w:r>
      <w:r>
        <w:rPr>
          <w:rFonts w:hint="eastAsia" w:ascii="黑体" w:hAnsi="黑体" w:eastAsia="黑体" w:cs="黑体"/>
          <w:sz w:val="32"/>
          <w:szCs w:val="32"/>
          <w:lang w:eastAsia="zh-CN"/>
        </w:rPr>
        <w:t>监督管理</w:t>
      </w:r>
      <w:r>
        <w:rPr>
          <w:rFonts w:hint="eastAsia" w:ascii="黑体" w:hAnsi="黑体" w:eastAsia="黑体" w:cs="黑体"/>
          <w:sz w:val="32"/>
          <w:szCs w:val="32"/>
        </w:rPr>
        <w:t>，</w:t>
      </w:r>
      <w:r>
        <w:rPr>
          <w:rFonts w:hint="eastAsia" w:ascii="黑体" w:hAnsi="黑体" w:eastAsia="黑体" w:cs="黑体"/>
          <w:sz w:val="32"/>
          <w:szCs w:val="32"/>
          <w:lang w:eastAsia="zh-CN"/>
        </w:rPr>
        <w:t>规范和维</w:t>
      </w:r>
      <w:r>
        <w:rPr>
          <w:rFonts w:hint="eastAsia" w:ascii="黑体" w:hAnsi="黑体" w:eastAsia="黑体" w:cs="黑体"/>
          <w:sz w:val="32"/>
          <w:szCs w:val="32"/>
        </w:rPr>
        <w:t>护市场铁序，</w:t>
      </w:r>
      <w:r>
        <w:rPr>
          <w:rFonts w:hint="eastAsia" w:ascii="黑体" w:hAnsi="黑体" w:eastAsia="黑体" w:cs="黑体"/>
          <w:sz w:val="32"/>
          <w:szCs w:val="32"/>
          <w:lang w:eastAsia="zh-CN"/>
        </w:rPr>
        <w:t>营造诚实守信、公平竞争的市</w:t>
      </w:r>
      <w:r>
        <w:rPr>
          <w:rFonts w:hint="eastAsia" w:ascii="黑体" w:hAnsi="黑体" w:eastAsia="黑体" w:cs="黑体"/>
          <w:sz w:val="32"/>
          <w:szCs w:val="32"/>
        </w:rPr>
        <w:t>场环境。</w:t>
      </w:r>
    </w:p>
    <w:p w14:paraId="576F7AE6">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（二）负责市场主体统一登记注册。指导全市各类企业、农</w:t>
      </w:r>
      <w:r>
        <w:rPr>
          <w:rFonts w:hint="eastAsia" w:ascii="黑体" w:hAnsi="黑体" w:eastAsia="黑体" w:cs="黑体"/>
          <w:sz w:val="32"/>
          <w:szCs w:val="32"/>
          <w:lang w:eastAsia="zh-CN"/>
        </w:rPr>
        <w:t>牧</w:t>
      </w:r>
      <w:r>
        <w:rPr>
          <w:rFonts w:hint="eastAsia" w:ascii="黑体" w:hAnsi="黑体" w:eastAsia="黑体" w:cs="黑体"/>
          <w:sz w:val="32"/>
          <w:szCs w:val="32"/>
        </w:rPr>
        <w:t>民专业合作社和从事经营活动的单位、个体工商户等市场主体的登记注册工作。建立市场经营主体信息公示和共享机制，依法公示和共享有关信息，加强信用监管，推动市场经营主体信用体系建设。协助完善边境地区“一站式”市场准入服务工作，支持边境地区市场经营主体健康发展，助力国家固边兴边富民行动示范市创建。</w:t>
      </w:r>
    </w:p>
    <w:p w14:paraId="62D6AB10">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（三）负责指导和监督市场监管综合执法工作。指导全市市场监管综合执法工作，推动实行统一的市场监督管理。组织查处和督办违法案件。规范市场监督管理行政执法行为。</w:t>
      </w:r>
    </w:p>
    <w:p w14:paraId="1DE14186">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负责反垄断线索摸排工作。统筹推进竞争政策实施，指导实施公平竞争审查制度。依法依授权对经营者集中行为进行反垄断摸排工作，负责对垄断协议、滥用市场支配地位和滥用行政权力排除、限制竞争等行为的反垄断线索摸排工作。依授权协调那曲市企业境外反垄断应诉工作。</w:t>
      </w:r>
    </w:p>
    <w:p w14:paraId="3ADBEBC4">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负责监督管理市场秩序。依法监督管理市场交易、网络商品交易及有关服务的行为，负责野生动物非法交易治理。组织指导查处价格收费违法违规、不正当竟争、违法直销、传销、侵犯商标专利知识产权和制售假冒伪劣行。指导广告业发展，监督管理广告活动。依法查处无照生产经营和相关无证生产经营行为。指导市消费者协会开展消费维权工作。</w:t>
      </w:r>
    </w:p>
    <w:p w14:paraId="4F0E79AB">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（六）负</w:t>
      </w:r>
      <w:r>
        <w:rPr>
          <w:rFonts w:hint="eastAsia" w:ascii="黑体" w:hAnsi="黑体" w:eastAsia="黑体" w:cs="黑体"/>
          <w:sz w:val="32"/>
          <w:szCs w:val="32"/>
          <w:lang w:eastAsia="zh-CN"/>
        </w:rPr>
        <w:t>责</w:t>
      </w:r>
      <w:r>
        <w:rPr>
          <w:rFonts w:hint="eastAsia" w:ascii="黑体" w:hAnsi="黑体" w:eastAsia="黑体" w:cs="黑体"/>
          <w:sz w:val="32"/>
          <w:szCs w:val="32"/>
        </w:rPr>
        <w:t>宏观质量管理。推进质量强市建设。统</w:t>
      </w:r>
      <w:r>
        <w:rPr>
          <w:rFonts w:hint="eastAsia" w:ascii="黑体" w:hAnsi="黑体" w:eastAsia="黑体" w:cs="黑体"/>
          <w:sz w:val="32"/>
          <w:szCs w:val="32"/>
          <w:lang w:eastAsia="zh-CN"/>
        </w:rPr>
        <w:t>筹</w:t>
      </w:r>
      <w:r>
        <w:rPr>
          <w:rFonts w:hint="eastAsia" w:ascii="黑体" w:hAnsi="黑体" w:eastAsia="黑体" w:cs="黑体"/>
          <w:sz w:val="32"/>
          <w:szCs w:val="32"/>
        </w:rPr>
        <w:t>全市质量基础设施协同服务与应用。会同有关部门组织实施霍点工程设备质量监理制度，组织重大质量事故调查，贯彻实施缺陷产品召回制度，监督管理产品防伪工作。</w:t>
      </w:r>
    </w:p>
    <w:p w14:paraId="7618C090">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（七）负责产品质量安全监督管理。负责产品质量风险防控和市级监督抽查工作。组织实施质量分级制度、质量安全追溯制度。负责工业产品生产许可管理。负责纤维质量监督工作。</w:t>
      </w:r>
    </w:p>
    <w:p w14:paraId="2F1EF8F3">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（八）负责特种设备安全监督管理。综合管理特种设备安全监察、监督工作，监督检查高耗能特种设备节能标准和锅炉环境保护标准的执行情况。</w:t>
      </w:r>
    </w:p>
    <w:p w14:paraId="074E9907">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九）负责食品安全监督管理综合协调。贯彻国家及自治区食品安全制度，细化相关措施并组织实施。负责推动食品安全党政同贵、属地管理责任落实，建立健全长效机制。负责全市食品安全应急体系建设，承担重大食品安全事件应急处置和调查处理工作。贯彻执行食品安全重要信息直报制度。承担市食品药品安全委员会日常工作。</w:t>
      </w:r>
    </w:p>
    <w:p w14:paraId="5ECB3608">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（十）负责食品安全监督管理。制定并组织实施全市覆盖食品生产、流通、消费全过程的监督检查制度和隐患排查治理措施，防范区域性、系统性食品安全风险。推动建立食品生产经营者落</w:t>
      </w:r>
    </w:p>
    <w:p w14:paraId="649C36E6">
      <w:pPr>
        <w:numPr>
          <w:ilvl w:val="0"/>
          <w:numId w:val="0"/>
        </w:numPr>
        <w:spacing w:line="578" w:lineRule="exact"/>
        <w:rPr>
          <w:rFonts w:hint="eastAsia" w:ascii="黑体" w:hAnsi="黑体" w:eastAsia="黑体" w:cs="黑体"/>
          <w:sz w:val="32"/>
          <w:szCs w:val="32"/>
        </w:rPr>
      </w:pPr>
      <w:r>
        <w:rPr>
          <w:rFonts w:hint="eastAsia" w:ascii="黑体" w:hAnsi="黑体" w:eastAsia="黑体" w:cs="黑体"/>
          <w:sz w:val="32"/>
          <w:szCs w:val="32"/>
        </w:rPr>
        <w:t>实主体</w:t>
      </w:r>
      <w:r>
        <w:rPr>
          <w:rFonts w:hint="eastAsia" w:ascii="黑体" w:hAnsi="黑体" w:eastAsia="黑体" w:cs="黑体"/>
          <w:sz w:val="32"/>
          <w:szCs w:val="32"/>
          <w:lang w:eastAsia="zh-CN"/>
        </w:rPr>
        <w:t>责</w:t>
      </w:r>
      <w:r>
        <w:rPr>
          <w:rFonts w:hint="eastAsia" w:ascii="黑体" w:hAnsi="黑体" w:eastAsia="黑体" w:cs="黑体"/>
          <w:sz w:val="32"/>
          <w:szCs w:val="32"/>
        </w:rPr>
        <w:t>任的机制，健全食品安全迫溯体系。组织开展食品安全监督抽检、风险监测、检查处量和风险预警、凤险交流工作。组织实施</w:t>
      </w:r>
      <w:r>
        <w:rPr>
          <w:rFonts w:hint="eastAsia" w:ascii="黑体" w:hAnsi="黑体" w:eastAsia="黑体" w:cs="黑体"/>
          <w:sz w:val="32"/>
          <w:szCs w:val="32"/>
          <w:lang w:eastAsia="zh-CN"/>
        </w:rPr>
        <w:t>特殊</w:t>
      </w:r>
      <w:r>
        <w:rPr>
          <w:rFonts w:hint="eastAsia" w:ascii="黑体" w:hAnsi="黑体" w:eastAsia="黑体" w:cs="黑体"/>
          <w:sz w:val="32"/>
          <w:szCs w:val="32"/>
        </w:rPr>
        <w:t>食品注册、备案和监督管理。</w:t>
      </w:r>
    </w:p>
    <w:p w14:paraId="7116DE52">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（十一）负</w:t>
      </w:r>
      <w:r>
        <w:rPr>
          <w:rFonts w:hint="eastAsia" w:ascii="黑体" w:hAnsi="黑体" w:eastAsia="黑体" w:cs="黑体"/>
          <w:sz w:val="32"/>
          <w:szCs w:val="32"/>
          <w:lang w:eastAsia="zh-CN"/>
        </w:rPr>
        <w:t>责</w:t>
      </w:r>
      <w:r>
        <w:rPr>
          <w:rFonts w:hint="eastAsia" w:ascii="黑体" w:hAnsi="黑体" w:eastAsia="黑体" w:cs="黑体"/>
          <w:sz w:val="32"/>
          <w:szCs w:val="32"/>
        </w:rPr>
        <w:t>统一管理计量工作。推行国家法定计量单位，执行国家计量制度，管理计量器具及量值传</w:t>
      </w:r>
      <w:r>
        <w:rPr>
          <w:rFonts w:hint="eastAsia" w:ascii="黑体" w:hAnsi="黑体" w:eastAsia="黑体" w:cs="黑体"/>
          <w:sz w:val="32"/>
          <w:szCs w:val="32"/>
          <w:lang w:eastAsia="zh-CN"/>
        </w:rPr>
        <w:t>递</w:t>
      </w:r>
      <w:r>
        <w:rPr>
          <w:rFonts w:hint="eastAsia" w:ascii="黑体" w:hAnsi="黑体" w:eastAsia="黑体" w:cs="黑体"/>
          <w:sz w:val="32"/>
          <w:szCs w:val="32"/>
        </w:rPr>
        <w:t>和比对工作。规范、监督商品量和市场计量行为。探索开</w:t>
      </w:r>
      <w:r>
        <w:rPr>
          <w:rFonts w:hint="eastAsia" w:ascii="黑体" w:hAnsi="黑体" w:eastAsia="黑体" w:cs="黑体"/>
          <w:sz w:val="32"/>
          <w:szCs w:val="32"/>
          <w:lang w:eastAsia="zh-CN"/>
        </w:rPr>
        <w:t>展</w:t>
      </w:r>
      <w:r>
        <w:rPr>
          <w:rFonts w:hint="eastAsia" w:ascii="黑体" w:hAnsi="黑体" w:eastAsia="黑体" w:cs="黑体"/>
          <w:sz w:val="32"/>
          <w:szCs w:val="32"/>
        </w:rPr>
        <w:t>碳计量工作，加强能源计量监督管理，促进节能减排，助力国家生态文明</w:t>
      </w:r>
      <w:r>
        <w:rPr>
          <w:rFonts w:hint="eastAsia" w:ascii="黑体" w:hAnsi="黑体" w:eastAsia="黑体" w:cs="黑体"/>
          <w:sz w:val="32"/>
          <w:szCs w:val="32"/>
          <w:lang w:eastAsia="zh-CN"/>
        </w:rPr>
        <w:t>高</w:t>
      </w:r>
      <w:r>
        <w:rPr>
          <w:rFonts w:hint="eastAsia" w:ascii="黑体" w:hAnsi="黑体" w:eastAsia="黑体" w:cs="黑体"/>
          <w:sz w:val="32"/>
          <w:szCs w:val="32"/>
        </w:rPr>
        <w:t>地创建。</w:t>
      </w:r>
    </w:p>
    <w:p w14:paraId="0D6C61F6">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（十二）负</w:t>
      </w:r>
      <w:r>
        <w:rPr>
          <w:rFonts w:hint="eastAsia" w:ascii="黑体" w:hAnsi="黑体" w:eastAsia="黑体" w:cs="黑体"/>
          <w:sz w:val="32"/>
          <w:szCs w:val="32"/>
          <w:lang w:eastAsia="zh-CN"/>
        </w:rPr>
        <w:t>责</w:t>
      </w:r>
      <w:r>
        <w:rPr>
          <w:rFonts w:hint="eastAsia" w:ascii="黑体" w:hAnsi="黑体" w:eastAsia="黑体" w:cs="黑体"/>
          <w:sz w:val="32"/>
          <w:szCs w:val="32"/>
        </w:rPr>
        <w:t>统一管理标准化工作。依法承担地方标准的立项、编号和发布工作。依法指导和监督地方标准、团体标准、企业标准制定工作。依授权配合做好标准化国际合作和采用国际标准工作。</w:t>
      </w:r>
    </w:p>
    <w:p w14:paraId="3C66F185">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（十三）负责统一管理检验检测工作。推进检验检测机构改革。规范检验检测市场，完善检验检测体系，指导协调检验检测行业发展。</w:t>
      </w:r>
    </w:p>
    <w:p w14:paraId="0614D3CA">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（十四）负责统一管理、监督和综合协调认证工作。组织实施国家统一的认证和合格评定监督管理制度。负责全市检验检测机构资质认定工作。</w:t>
      </w:r>
    </w:p>
    <w:p w14:paraId="4FBA17D9">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（十五）负责知识产权工作。组织实施知识产权强国建设有关政策，负责保护知识产权、促进知识产权运用、建立知识产权公共服务体系、依授权统筹协调涉外知识产权事宜。</w:t>
      </w:r>
    </w:p>
    <w:p w14:paraId="3052C713">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（十六）负责药品、医疗器械和化妆品安全监</w:t>
      </w:r>
      <w:r>
        <w:rPr>
          <w:rFonts w:hint="eastAsia" w:ascii="黑体" w:hAnsi="黑体" w:eastAsia="黑体" w:cs="黑体"/>
          <w:sz w:val="32"/>
          <w:szCs w:val="32"/>
          <w:lang w:eastAsia="zh-CN"/>
        </w:rPr>
        <w:t>督</w:t>
      </w:r>
      <w:r>
        <w:rPr>
          <w:rFonts w:hint="eastAsia" w:ascii="黑体" w:hAnsi="黑体" w:eastAsia="黑体" w:cs="黑体"/>
          <w:sz w:val="32"/>
          <w:szCs w:val="32"/>
        </w:rPr>
        <w:t>管理。监督实施国家药品、医疗器械和化妆品法律法规和部门规章，组织起草地方性法规和政府规章草案。研究拟订鼓励药品、医疗器械、化妆品新技术新产品和产业发展的管理与服务制度。</w:t>
      </w:r>
    </w:p>
    <w:p w14:paraId="0DD16800">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（十七）执行国</w:t>
      </w:r>
      <w:r>
        <w:rPr>
          <w:rFonts w:hint="eastAsia" w:ascii="黑体" w:hAnsi="黑体" w:eastAsia="黑体" w:cs="黑体"/>
          <w:sz w:val="32"/>
          <w:szCs w:val="32"/>
          <w:lang w:eastAsia="zh-CN"/>
        </w:rPr>
        <w:t>家</w:t>
      </w:r>
      <w:r>
        <w:rPr>
          <w:rFonts w:hint="eastAsia" w:ascii="黑体" w:hAnsi="黑体" w:eastAsia="黑体" w:cs="黑体"/>
          <w:sz w:val="32"/>
          <w:szCs w:val="32"/>
        </w:rPr>
        <w:t>药品、医疗</w:t>
      </w:r>
      <w:r>
        <w:rPr>
          <w:rFonts w:hint="eastAsia" w:ascii="黑体" w:hAnsi="黑体" w:eastAsia="黑体" w:cs="黑体"/>
          <w:sz w:val="32"/>
          <w:szCs w:val="32"/>
          <w:lang w:eastAsia="zh-CN"/>
        </w:rPr>
        <w:t>器械</w:t>
      </w:r>
      <w:r>
        <w:rPr>
          <w:rFonts w:hint="eastAsia" w:ascii="黑体" w:hAnsi="黑体" w:eastAsia="黑体" w:cs="黑体"/>
          <w:sz w:val="32"/>
          <w:szCs w:val="32"/>
        </w:rPr>
        <w:t>和化妆品标准。依法</w:t>
      </w:r>
      <w:r>
        <w:rPr>
          <w:rFonts w:hint="eastAsia" w:ascii="黑体" w:hAnsi="黑体" w:eastAsia="黑体" w:cs="黑体"/>
          <w:sz w:val="32"/>
          <w:szCs w:val="32"/>
          <w:lang w:eastAsia="zh-CN"/>
        </w:rPr>
        <w:t>依规</w:t>
      </w:r>
      <w:r>
        <w:rPr>
          <w:rFonts w:hint="eastAsia" w:ascii="黑体" w:hAnsi="黑体" w:eastAsia="黑体" w:cs="黑体"/>
          <w:sz w:val="32"/>
          <w:szCs w:val="32"/>
        </w:rPr>
        <w:t>承担市人民政府下达的草拟地方标准的任务。组织实施中药品种保护制度和药品分类管理制度。实施国家基本药物制度及配合制定基本药物目录。</w:t>
      </w:r>
    </w:p>
    <w:p w14:paraId="2E629B59">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八）按规定权限，负费药品、医疗器械产品注册管理和化妆品备案管理。实施医疗机构制剂注册、备案管理制度，推进审评审批服务便利化。负责药品、医疗器械和化妆品生产环节的许可、检查和处罚，以及药品批发许可、零售连锁总部许可、互联网销售第三方平台备案、检查和处罚。</w:t>
      </w:r>
    </w:p>
    <w:p w14:paraId="5DA83A81">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九）负责药品、医疗器械和化妆品质量管理。监督实施药品、医疗器械研发、生产、经营、使用质量管理规范和化妆品生产经营质量管理规范。拟订并组织实施全市药品、医疗器械和化妆品生产经营监督管理制度。</w:t>
      </w:r>
    </w:p>
    <w:p w14:paraId="0CCD12D9">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十）负责药品、医疗器械和化妆品上市后风险管理。组织开展药品不良反应、医疗器械不良事件和化妆品不良反应的监测、评价和处置工作。拟订并监督实施全市药品、医疗器械和化妆品质量抽查检验计划，发布质量公告，组织排查风险隐患。</w:t>
      </w:r>
    </w:p>
    <w:p w14:paraId="79826BAC">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（二十一）负责实施执业药师资格准入制度，组织实施执业</w:t>
      </w:r>
    </w:p>
    <w:p w14:paraId="67665A9B">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药师注册及相关监督管理工作。</w:t>
      </w:r>
    </w:p>
    <w:p w14:paraId="0AF13FD0">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（二十二）负责组织指导药品、医疗器械和化妆品监督检查。制定检查制度，依法查处生产批发环节的违法行为，组级指导</w:t>
      </w:r>
      <w:r>
        <w:rPr>
          <w:rFonts w:hint="eastAsia" w:ascii="黑体" w:hAnsi="黑体" w:eastAsia="黑体" w:cs="黑体"/>
          <w:sz w:val="32"/>
          <w:szCs w:val="32"/>
          <w:lang w:eastAsia="zh-CN"/>
        </w:rPr>
        <w:t>查</w:t>
      </w:r>
      <w:r>
        <w:rPr>
          <w:rFonts w:hint="eastAsia" w:ascii="黑体" w:hAnsi="黑体" w:eastAsia="黑体" w:cs="黑体"/>
          <w:sz w:val="32"/>
          <w:szCs w:val="32"/>
        </w:rPr>
        <w:t>处</w:t>
      </w:r>
      <w:r>
        <w:rPr>
          <w:rFonts w:hint="eastAsia" w:ascii="黑体" w:hAnsi="黑体" w:eastAsia="黑体" w:cs="黑体"/>
          <w:sz w:val="32"/>
          <w:szCs w:val="32"/>
          <w:lang w:eastAsia="zh-CN"/>
        </w:rPr>
        <w:t>经营</w:t>
      </w:r>
      <w:r>
        <w:rPr>
          <w:rFonts w:hint="eastAsia" w:ascii="黑体" w:hAnsi="黑体" w:eastAsia="黑体" w:cs="黑体"/>
          <w:sz w:val="32"/>
          <w:szCs w:val="32"/>
        </w:rPr>
        <w:t>使用环节的</w:t>
      </w:r>
      <w:r>
        <w:rPr>
          <w:rFonts w:hint="eastAsia" w:ascii="黑体" w:hAnsi="黑体" w:eastAsia="黑体" w:cs="黑体"/>
          <w:sz w:val="32"/>
          <w:szCs w:val="32"/>
          <w:lang w:eastAsia="zh-CN"/>
        </w:rPr>
        <w:t>违</w:t>
      </w:r>
      <w:r>
        <w:rPr>
          <w:rFonts w:hint="eastAsia" w:ascii="黑体" w:hAnsi="黑体" w:eastAsia="黑体" w:cs="黑体"/>
          <w:sz w:val="32"/>
          <w:szCs w:val="32"/>
        </w:rPr>
        <w:t>法行为。</w:t>
      </w:r>
      <w:r>
        <w:rPr>
          <w:rFonts w:hint="eastAsia" w:ascii="黑体" w:hAnsi="黑体" w:eastAsia="黑体" w:cs="黑体"/>
          <w:sz w:val="32"/>
          <w:szCs w:val="32"/>
          <w:lang w:eastAsia="zh-CN"/>
        </w:rPr>
        <w:t>拟</w:t>
      </w:r>
      <w:r>
        <w:rPr>
          <w:rFonts w:hint="eastAsia" w:ascii="黑体" w:hAnsi="黑体" w:eastAsia="黑体" w:cs="黑体"/>
          <w:sz w:val="32"/>
          <w:szCs w:val="32"/>
        </w:rPr>
        <w:t>订问题产</w:t>
      </w:r>
      <w:r>
        <w:rPr>
          <w:rFonts w:hint="eastAsia" w:ascii="黑体" w:hAnsi="黑体" w:eastAsia="黑体" w:cs="黑体"/>
          <w:sz w:val="32"/>
          <w:szCs w:val="32"/>
          <w:lang w:eastAsia="zh-CN"/>
        </w:rPr>
        <w:t>品召回和处理制度并监督实施。</w:t>
      </w:r>
    </w:p>
    <w:p w14:paraId="4C962CBF">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（二十三）负</w:t>
      </w:r>
      <w:r>
        <w:rPr>
          <w:rFonts w:hint="eastAsia" w:ascii="黑体" w:hAnsi="黑体" w:eastAsia="黑体" w:cs="黑体"/>
          <w:sz w:val="32"/>
          <w:szCs w:val="32"/>
          <w:lang w:eastAsia="zh-CN"/>
        </w:rPr>
        <w:t>责</w:t>
      </w:r>
      <w:r>
        <w:rPr>
          <w:rFonts w:hint="eastAsia" w:ascii="黑体" w:hAnsi="黑体" w:eastAsia="黑体" w:cs="黑体"/>
          <w:sz w:val="32"/>
          <w:szCs w:val="32"/>
        </w:rPr>
        <w:t>药品、医疗器械和化妆品监督管理领域交流</w:t>
      </w:r>
    </w:p>
    <w:p w14:paraId="54DAE7BB">
      <w:pPr>
        <w:numPr>
          <w:ilvl w:val="0"/>
          <w:numId w:val="0"/>
        </w:numPr>
        <w:spacing w:line="578" w:lineRule="exact"/>
        <w:rPr>
          <w:rFonts w:hint="eastAsia" w:ascii="黑体" w:hAnsi="黑体" w:eastAsia="黑体" w:cs="黑体"/>
          <w:sz w:val="32"/>
          <w:szCs w:val="32"/>
        </w:rPr>
      </w:pPr>
      <w:r>
        <w:rPr>
          <w:rFonts w:hint="eastAsia" w:ascii="黑体" w:hAnsi="黑体" w:eastAsia="黑体" w:cs="黑体"/>
          <w:sz w:val="32"/>
          <w:szCs w:val="32"/>
        </w:rPr>
        <w:t>与合作、安全宣传、教育培训。</w:t>
      </w:r>
    </w:p>
    <w:p w14:paraId="6EB1CDDA">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（二十四）负责市场监督管理科技和信息化建设、新闻宣传。按规定承担技术性贸易</w:t>
      </w:r>
      <w:r>
        <w:rPr>
          <w:rFonts w:hint="eastAsia" w:ascii="黑体" w:hAnsi="黑体" w:eastAsia="黑体" w:cs="黑体"/>
          <w:sz w:val="32"/>
          <w:szCs w:val="32"/>
          <w:lang w:eastAsia="zh-CN"/>
        </w:rPr>
        <w:t>措</w:t>
      </w:r>
      <w:r>
        <w:rPr>
          <w:rFonts w:hint="eastAsia" w:ascii="黑体" w:hAnsi="黑体" w:eastAsia="黑体" w:cs="黑体"/>
          <w:sz w:val="32"/>
          <w:szCs w:val="32"/>
        </w:rPr>
        <w:t>施有关工作。</w:t>
      </w:r>
    </w:p>
    <w:p w14:paraId="4CB103DB">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（二十五）负</w:t>
      </w:r>
      <w:r>
        <w:rPr>
          <w:rFonts w:hint="eastAsia" w:ascii="黑体" w:hAnsi="黑体" w:eastAsia="黑体" w:cs="黑体"/>
          <w:sz w:val="32"/>
          <w:szCs w:val="32"/>
          <w:lang w:eastAsia="zh-CN"/>
        </w:rPr>
        <w:t>责</w:t>
      </w:r>
      <w:r>
        <w:rPr>
          <w:rFonts w:hint="eastAsia" w:ascii="黑体" w:hAnsi="黑体" w:eastAsia="黑体" w:cs="黑体"/>
          <w:sz w:val="32"/>
          <w:szCs w:val="32"/>
        </w:rPr>
        <w:t>指导各县（区）市场、药品监督管理工作。</w:t>
      </w:r>
    </w:p>
    <w:p w14:paraId="6AAAB74E">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（二十六）负责本行业本领域安全生产监管和应急处置工作。</w:t>
      </w:r>
    </w:p>
    <w:p w14:paraId="2BD24CE0">
      <w:pPr>
        <w:numPr>
          <w:ilvl w:val="0"/>
          <w:numId w:val="0"/>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（二十七）完成市委、市政府交办的其他任务。</w:t>
      </w:r>
    </w:p>
    <w:p w14:paraId="0680DACE">
      <w:pPr>
        <w:spacing w:line="578" w:lineRule="exact"/>
        <w:ind w:firstLine="640" w:firstLineChars="200"/>
        <w:rPr>
          <w:rFonts w:hint="eastAsia" w:ascii="黑体" w:hAnsi="黑体" w:eastAsia="黑体" w:cs="黑体"/>
          <w:sz w:val="32"/>
          <w:szCs w:val="32"/>
        </w:rPr>
      </w:pPr>
      <w:bookmarkStart w:id="14" w:name="_Toc4833_WPSOffice_Level2"/>
      <w:bookmarkStart w:id="15" w:name="_Toc17796_WPSOffice_Level2"/>
      <w:bookmarkStart w:id="16" w:name="_Toc24474_WPSOffice_Level2"/>
      <w:bookmarkStart w:id="17" w:name="_Toc6572_WPSOffice_Level2"/>
      <w:bookmarkStart w:id="18" w:name="_Toc24059_WPSOffice_Level2"/>
      <w:r>
        <w:rPr>
          <w:rFonts w:hint="eastAsia" w:ascii="黑体" w:hAnsi="黑体" w:eastAsia="黑体" w:cs="黑体"/>
          <w:sz w:val="32"/>
          <w:szCs w:val="32"/>
        </w:rPr>
        <w:t>二、机构设置</w:t>
      </w:r>
      <w:bookmarkEnd w:id="14"/>
      <w:bookmarkEnd w:id="15"/>
      <w:bookmarkEnd w:id="16"/>
      <w:bookmarkEnd w:id="17"/>
      <w:bookmarkEnd w:id="18"/>
    </w:p>
    <w:p w14:paraId="6A883F88">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纳入</w:t>
      </w:r>
      <w:r>
        <w:rPr>
          <w:rFonts w:hint="eastAsia" w:ascii="仿宋_GB2312" w:hAnsi="ˎ̥" w:eastAsia="仿宋_GB2312"/>
          <w:sz w:val="32"/>
          <w:szCs w:val="32"/>
          <w:lang w:eastAsia="zh-CN"/>
        </w:rPr>
        <w:t>那曲市市场监督管理局</w:t>
      </w:r>
      <w:r>
        <w:rPr>
          <w:rFonts w:hint="default" w:ascii="仿宋_GB2312" w:hAnsi="ˎ̥" w:eastAsia="仿宋_GB2312"/>
          <w:sz w:val="32"/>
          <w:szCs w:val="32"/>
          <w:lang w:val="en-US"/>
        </w:rPr>
        <w:t>2024</w:t>
      </w:r>
      <w:r>
        <w:rPr>
          <w:rFonts w:hint="eastAsia" w:ascii="仿宋_GB2312" w:hAnsi="ˎ̥" w:eastAsia="仿宋_GB2312"/>
          <w:sz w:val="32"/>
          <w:szCs w:val="32"/>
        </w:rPr>
        <w:t>年度部门决算编制范围的单位共</w:t>
      </w:r>
      <w:r>
        <w:rPr>
          <w:rFonts w:hint="eastAsia" w:ascii="仿宋_GB2312" w:hAnsi="ˎ̥" w:eastAsia="仿宋_GB2312"/>
          <w:color w:val="auto"/>
          <w:sz w:val="32"/>
          <w:szCs w:val="32"/>
          <w:lang w:val="en-US" w:eastAsia="zh-CN"/>
        </w:rPr>
        <w:t>1</w:t>
      </w:r>
      <w:r>
        <w:rPr>
          <w:rFonts w:hint="eastAsia" w:ascii="仿宋_GB2312" w:hAnsi="ˎ̥" w:eastAsia="仿宋_GB2312"/>
          <w:sz w:val="32"/>
          <w:szCs w:val="32"/>
        </w:rPr>
        <w:t>个，包括：</w:t>
      </w:r>
    </w:p>
    <w:p w14:paraId="32B9E5F7">
      <w:pPr>
        <w:spacing w:line="578" w:lineRule="exact"/>
        <w:ind w:firstLine="640" w:firstLineChars="200"/>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那曲市市场监督管理局</w:t>
      </w:r>
      <w:r>
        <w:rPr>
          <w:rFonts w:hint="eastAsia" w:ascii="方正楷体_GBK" w:hAnsi="方正楷体_GBK" w:eastAsia="方正楷体_GBK" w:cs="方正楷体_GBK"/>
          <w:color w:val="auto"/>
          <w:sz w:val="32"/>
          <w:szCs w:val="32"/>
        </w:rPr>
        <w:t>部门本级</w:t>
      </w:r>
    </w:p>
    <w:p w14:paraId="3E06ED6A">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我单位目前共有个科室，行政科室</w:t>
      </w:r>
      <w:r>
        <w:rPr>
          <w:rFonts w:hint="eastAsia" w:ascii="仿宋_GB2312" w:hAnsi="ˎ̥" w:eastAsia="仿宋_GB2312"/>
          <w:sz w:val="32"/>
          <w:szCs w:val="32"/>
          <w:lang w:val="en-US" w:eastAsia="zh-CN"/>
        </w:rPr>
        <w:t>11个：</w:t>
      </w:r>
      <w:r>
        <w:rPr>
          <w:rFonts w:hint="eastAsia" w:ascii="仿宋_GB2312" w:hAnsi="ˎ̥" w:eastAsia="仿宋_GB2312"/>
          <w:sz w:val="32"/>
          <w:szCs w:val="32"/>
          <w:lang w:eastAsia="zh-CN"/>
        </w:rPr>
        <w:t>办公室（政策法规科）、人事科、知识产权科、反垄断和反不正当竞争科、登记注册科、信用监督管理科、产品质量安全监督管理科、食品生产经营安全监督管理科、特种设备安全监察科、计量和认证监督管理科、药品（化妆品）和医疗器械监督管理科；参工科室</w:t>
      </w:r>
      <w:r>
        <w:rPr>
          <w:rFonts w:hint="eastAsia" w:ascii="仿宋_GB2312" w:hAnsi="ˎ̥" w:eastAsia="仿宋_GB2312"/>
          <w:sz w:val="32"/>
          <w:szCs w:val="32"/>
          <w:lang w:val="en-US" w:eastAsia="zh-CN"/>
        </w:rPr>
        <w:t>1个：市场监管综合行政执法监察队；事业科室6个：不良反应监测中心、市消费者协会、藏药审批认证中心、后勤服务中心、财务室和那曲市检验检测中心。</w:t>
      </w:r>
    </w:p>
    <w:p w14:paraId="149848AF">
      <w:pPr>
        <w:spacing w:line="578" w:lineRule="exact"/>
        <w:jc w:val="center"/>
        <w:rPr>
          <w:rFonts w:hint="eastAsia" w:ascii="黑体" w:hAnsi="ˎ̥" w:eastAsia="黑体"/>
          <w:sz w:val="32"/>
          <w:szCs w:val="32"/>
        </w:rPr>
      </w:pPr>
      <w:bookmarkStart w:id="19" w:name="_Toc8164_WPSOffice_Level1"/>
      <w:bookmarkStart w:id="20" w:name="_Toc28253_WPSOffice_Level1"/>
      <w:bookmarkStart w:id="21" w:name="_Toc30690_WPSOffice_Level1"/>
      <w:bookmarkStart w:id="22" w:name="_Toc30451_WPSOffice_Level1"/>
      <w:bookmarkStart w:id="23" w:name="_Toc6234_WPSOffice_Level1"/>
      <w:bookmarkStart w:id="24" w:name="_Toc15521_WPSOffice_Level1"/>
      <w:bookmarkStart w:id="25" w:name="_Toc6211_WPSOffice_Level2"/>
      <w:bookmarkStart w:id="26" w:name="_Toc32695_WPSOffice_Level2"/>
      <w:bookmarkStart w:id="27" w:name="_Toc32472_WPSOffice_Level2"/>
      <w:bookmarkStart w:id="28" w:name="_Toc11518_WPSOffice_Level2"/>
      <w:bookmarkStart w:id="29" w:name="_Toc4029_WPSOffice_Level2"/>
      <w:bookmarkStart w:id="30" w:name="_Toc8867_WPSOffice_Level2"/>
    </w:p>
    <w:p w14:paraId="5ABA64D5">
      <w:pPr>
        <w:spacing w:line="578" w:lineRule="exact"/>
        <w:jc w:val="center"/>
        <w:rPr>
          <w:rFonts w:hint="eastAsia" w:ascii="黑体" w:hAnsi="ˎ̥" w:eastAsia="黑体"/>
          <w:sz w:val="32"/>
          <w:szCs w:val="32"/>
        </w:rPr>
      </w:pP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年度部门决算公开报表</w:t>
      </w:r>
      <w:bookmarkEnd w:id="19"/>
      <w:bookmarkEnd w:id="20"/>
      <w:bookmarkEnd w:id="21"/>
      <w:bookmarkEnd w:id="22"/>
      <w:bookmarkEnd w:id="23"/>
      <w:bookmarkEnd w:id="24"/>
    </w:p>
    <w:p w14:paraId="1A7D1292">
      <w:pPr>
        <w:spacing w:line="578" w:lineRule="exact"/>
        <w:ind w:firstLine="645"/>
        <w:rPr>
          <w:rFonts w:hint="eastAsia" w:ascii="黑体" w:hAnsi="黑体" w:eastAsia="黑体" w:cs="黑体"/>
          <w:sz w:val="32"/>
          <w:szCs w:val="32"/>
        </w:rPr>
      </w:pPr>
    </w:p>
    <w:p w14:paraId="4609FEC3">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一、收入支出决算公开表</w:t>
      </w:r>
      <w:bookmarkEnd w:id="25"/>
      <w:bookmarkEnd w:id="26"/>
      <w:bookmarkEnd w:id="27"/>
      <w:bookmarkEnd w:id="28"/>
      <w:bookmarkEnd w:id="29"/>
      <w:bookmarkEnd w:id="30"/>
    </w:p>
    <w:p w14:paraId="646AEC68">
      <w:pPr>
        <w:spacing w:line="578" w:lineRule="exact"/>
        <w:ind w:firstLine="645"/>
        <w:rPr>
          <w:rFonts w:hint="eastAsia" w:ascii="黑体" w:hAnsi="黑体" w:eastAsia="黑体" w:cs="黑体"/>
          <w:sz w:val="32"/>
          <w:szCs w:val="32"/>
        </w:rPr>
      </w:pPr>
      <w:bookmarkStart w:id="31" w:name="_Toc26621_WPSOffice_Level2"/>
      <w:bookmarkStart w:id="32" w:name="_Toc30334_WPSOffice_Level2"/>
      <w:bookmarkStart w:id="33" w:name="_Toc14349_WPSOffice_Level2"/>
      <w:bookmarkStart w:id="34" w:name="_Toc28622_WPSOffice_Level2"/>
      <w:bookmarkStart w:id="35" w:name="_Toc23139_WPSOffice_Level2"/>
      <w:bookmarkStart w:id="36" w:name="_Toc25608_WPSOffice_Level2"/>
      <w:r>
        <w:rPr>
          <w:rFonts w:hint="eastAsia" w:ascii="黑体" w:hAnsi="黑体" w:eastAsia="黑体" w:cs="黑体"/>
          <w:sz w:val="32"/>
          <w:szCs w:val="32"/>
        </w:rPr>
        <w:t>二、收入决算公开表</w:t>
      </w:r>
      <w:bookmarkEnd w:id="31"/>
      <w:bookmarkEnd w:id="32"/>
      <w:bookmarkEnd w:id="33"/>
      <w:bookmarkEnd w:id="34"/>
      <w:bookmarkEnd w:id="35"/>
      <w:bookmarkEnd w:id="36"/>
      <w:bookmarkStart w:id="37" w:name="_Toc13854_WPSOffice_Level2"/>
      <w:bookmarkStart w:id="38" w:name="_Toc5489_WPSOffice_Level2"/>
      <w:bookmarkStart w:id="39" w:name="_Toc14658_WPSOffice_Level2"/>
      <w:bookmarkStart w:id="40" w:name="_Toc3262_WPSOffice_Level2"/>
      <w:bookmarkStart w:id="41" w:name="_Toc17626_WPSOffice_Level2"/>
      <w:bookmarkStart w:id="42" w:name="_Toc17858_WPSOffice_Level2"/>
    </w:p>
    <w:p w14:paraId="2D43FEAF">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三、支出决算公开表</w:t>
      </w:r>
      <w:bookmarkEnd w:id="37"/>
      <w:bookmarkEnd w:id="38"/>
      <w:bookmarkEnd w:id="39"/>
      <w:bookmarkEnd w:id="40"/>
      <w:bookmarkEnd w:id="41"/>
      <w:bookmarkEnd w:id="42"/>
      <w:bookmarkStart w:id="43" w:name="_Toc21415_WPSOffice_Level2"/>
      <w:bookmarkStart w:id="44" w:name="_Toc4265_WPSOffice_Level2"/>
      <w:bookmarkStart w:id="45" w:name="_Toc23493_WPSOffice_Level2"/>
      <w:bookmarkStart w:id="46" w:name="_Toc13701_WPSOffice_Level2"/>
      <w:bookmarkStart w:id="47" w:name="_Toc23591_WPSOffice_Level2"/>
      <w:bookmarkStart w:id="48" w:name="_Toc7988_WPSOffice_Level2"/>
    </w:p>
    <w:p w14:paraId="466CE0B2">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四、财政拨款收入支出决算公开表</w:t>
      </w:r>
      <w:bookmarkEnd w:id="43"/>
      <w:bookmarkEnd w:id="44"/>
      <w:bookmarkEnd w:id="45"/>
      <w:bookmarkEnd w:id="46"/>
      <w:bookmarkEnd w:id="47"/>
      <w:bookmarkEnd w:id="48"/>
    </w:p>
    <w:p w14:paraId="1CA1AAB7">
      <w:pPr>
        <w:spacing w:line="578" w:lineRule="exact"/>
        <w:ind w:firstLine="645"/>
        <w:rPr>
          <w:rFonts w:hint="eastAsia" w:ascii="黑体" w:hAnsi="黑体" w:eastAsia="黑体" w:cs="黑体"/>
          <w:sz w:val="32"/>
          <w:szCs w:val="32"/>
        </w:rPr>
      </w:pPr>
      <w:bookmarkStart w:id="49" w:name="_Toc23829_WPSOffice_Level2"/>
      <w:bookmarkStart w:id="50" w:name="_Toc25166_WPSOffice_Level2"/>
      <w:bookmarkStart w:id="51" w:name="_Toc7879_WPSOffice_Level2"/>
      <w:bookmarkStart w:id="52" w:name="_Toc22783_WPSOffice_Level2"/>
      <w:bookmarkStart w:id="53" w:name="_Toc2158_WPSOffice_Level2"/>
      <w:bookmarkStart w:id="54" w:name="_Toc13516_WPSOffice_Level2"/>
      <w:r>
        <w:rPr>
          <w:rFonts w:hint="eastAsia" w:ascii="黑体" w:hAnsi="黑体" w:eastAsia="黑体" w:cs="黑体"/>
          <w:sz w:val="32"/>
          <w:szCs w:val="32"/>
        </w:rPr>
        <w:t>五、一般公共预算财政拨款收入支出决算</w:t>
      </w:r>
      <w:bookmarkEnd w:id="49"/>
      <w:bookmarkEnd w:id="50"/>
      <w:bookmarkEnd w:id="51"/>
      <w:bookmarkEnd w:id="52"/>
      <w:r>
        <w:rPr>
          <w:rFonts w:hint="eastAsia" w:ascii="黑体" w:hAnsi="黑体" w:eastAsia="黑体" w:cs="黑体"/>
          <w:sz w:val="32"/>
          <w:szCs w:val="32"/>
        </w:rPr>
        <w:t>公开表</w:t>
      </w:r>
      <w:bookmarkEnd w:id="53"/>
      <w:bookmarkEnd w:id="54"/>
      <w:bookmarkStart w:id="55" w:name="_Toc8373_WPSOffice_Level2"/>
      <w:bookmarkStart w:id="56" w:name="_Toc2632_WPSOffice_Level2"/>
      <w:bookmarkStart w:id="57" w:name="_Toc5343_WPSOffice_Level2"/>
      <w:bookmarkStart w:id="58" w:name="_Toc17833_WPSOffice_Level2"/>
      <w:bookmarkStart w:id="59" w:name="_Toc25362_WPSOffice_Level2"/>
      <w:bookmarkStart w:id="60" w:name="_Toc17283_WPSOffice_Level2"/>
    </w:p>
    <w:p w14:paraId="163493D2">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六、一般公共预算财政拨款基本支出决算</w:t>
      </w:r>
      <w:bookmarkEnd w:id="55"/>
      <w:bookmarkEnd w:id="56"/>
      <w:bookmarkEnd w:id="57"/>
      <w:bookmarkEnd w:id="58"/>
      <w:bookmarkEnd w:id="59"/>
      <w:bookmarkEnd w:id="60"/>
      <w:r>
        <w:rPr>
          <w:rFonts w:hint="eastAsia" w:ascii="黑体" w:hAnsi="黑体" w:eastAsia="黑体" w:cs="黑体"/>
          <w:sz w:val="32"/>
          <w:szCs w:val="32"/>
        </w:rPr>
        <w:t>公开表</w:t>
      </w:r>
    </w:p>
    <w:p w14:paraId="11250B0D">
      <w:pPr>
        <w:spacing w:line="578" w:lineRule="exact"/>
        <w:ind w:left="1118" w:leftChars="304" w:hanging="480" w:hangingChars="150"/>
        <w:rPr>
          <w:rFonts w:hint="eastAsia" w:ascii="黑体" w:hAnsi="黑体" w:eastAsia="黑体" w:cs="黑体"/>
          <w:sz w:val="32"/>
          <w:szCs w:val="32"/>
        </w:rPr>
      </w:pPr>
      <w:bookmarkStart w:id="61" w:name="_Toc11799_WPSOffice_Level2"/>
      <w:bookmarkStart w:id="62" w:name="_Toc1533_WPSOffice_Level2"/>
      <w:bookmarkStart w:id="63" w:name="_Toc6020_WPSOffice_Level2"/>
      <w:bookmarkStart w:id="64" w:name="_Toc13345_WPSOffice_Level2"/>
      <w:bookmarkStart w:id="65" w:name="_Toc5594_WPSOffice_Level2"/>
      <w:bookmarkStart w:id="66" w:name="_Toc21310_WPSOffice_Level2"/>
      <w:r>
        <w:rPr>
          <w:rFonts w:hint="eastAsia" w:ascii="黑体" w:hAnsi="黑体" w:eastAsia="黑体" w:cs="黑体"/>
          <w:sz w:val="32"/>
          <w:szCs w:val="32"/>
        </w:rPr>
        <w:t>七、政府性基金预算财政拨款收入支出决算</w:t>
      </w:r>
      <w:bookmarkEnd w:id="61"/>
      <w:bookmarkEnd w:id="62"/>
      <w:bookmarkEnd w:id="63"/>
      <w:bookmarkEnd w:id="64"/>
      <w:bookmarkEnd w:id="65"/>
      <w:bookmarkEnd w:id="66"/>
      <w:r>
        <w:rPr>
          <w:rFonts w:hint="eastAsia" w:ascii="黑体" w:hAnsi="黑体" w:eastAsia="黑体" w:cs="黑体"/>
          <w:sz w:val="32"/>
          <w:szCs w:val="32"/>
        </w:rPr>
        <w:t>公开表</w:t>
      </w:r>
    </w:p>
    <w:p w14:paraId="33B6C1DC">
      <w:pPr>
        <w:spacing w:line="578" w:lineRule="exact"/>
        <w:ind w:left="1118" w:leftChars="304" w:hanging="480" w:hangingChars="150"/>
        <w:rPr>
          <w:rFonts w:hint="eastAsia" w:ascii="黑体" w:hAnsi="黑体" w:eastAsia="黑体" w:cs="黑体"/>
          <w:sz w:val="32"/>
          <w:szCs w:val="32"/>
        </w:rPr>
      </w:pPr>
      <w:r>
        <w:rPr>
          <w:rFonts w:hint="eastAsia" w:ascii="黑体" w:hAnsi="黑体" w:eastAsia="黑体" w:cs="黑体"/>
          <w:sz w:val="32"/>
          <w:szCs w:val="32"/>
        </w:rPr>
        <w:t>八、国有资本经营预算财政拨款收入支出决算公开表</w:t>
      </w:r>
    </w:p>
    <w:p w14:paraId="6225979D">
      <w:pPr>
        <w:spacing w:line="578" w:lineRule="exact"/>
        <w:ind w:firstLine="640"/>
        <w:rPr>
          <w:rFonts w:hint="eastAsia" w:ascii="黑体" w:hAnsi="黑体" w:eastAsia="黑体" w:cs="黑体"/>
          <w:sz w:val="32"/>
          <w:szCs w:val="32"/>
        </w:rPr>
      </w:pPr>
      <w:bookmarkStart w:id="67" w:name="_Toc29886_WPSOffice_Level2"/>
      <w:bookmarkStart w:id="68" w:name="_Toc1820_WPSOffice_Level2"/>
      <w:bookmarkStart w:id="69" w:name="_Toc9377_WPSOffice_Level2"/>
      <w:bookmarkStart w:id="70" w:name="_Toc19961_WPSOffice_Level2"/>
      <w:r>
        <w:rPr>
          <w:rFonts w:hint="eastAsia" w:ascii="黑体" w:hAnsi="黑体" w:eastAsia="黑体" w:cs="黑体"/>
          <w:sz w:val="32"/>
          <w:szCs w:val="32"/>
        </w:rPr>
        <w:t>九、财政拨款“三公”经费支出决算</w:t>
      </w:r>
      <w:bookmarkEnd w:id="67"/>
      <w:bookmarkEnd w:id="68"/>
      <w:bookmarkEnd w:id="69"/>
      <w:bookmarkEnd w:id="70"/>
      <w:r>
        <w:rPr>
          <w:rFonts w:hint="eastAsia" w:ascii="黑体" w:hAnsi="黑体" w:eastAsia="黑体" w:cs="黑体"/>
          <w:sz w:val="32"/>
          <w:szCs w:val="32"/>
        </w:rPr>
        <w:t>公开表</w:t>
      </w:r>
    </w:p>
    <w:p w14:paraId="752E8721">
      <w:pPr>
        <w:spacing w:line="578" w:lineRule="exact"/>
        <w:ind w:firstLine="640"/>
        <w:rPr>
          <w:rFonts w:hint="eastAsia" w:ascii="仿宋" w:hAnsi="仿宋" w:eastAsia="仿宋" w:cs="仿宋"/>
          <w:w w:val="100"/>
          <w:sz w:val="32"/>
          <w:szCs w:val="32"/>
        </w:rPr>
      </w:pPr>
      <w:r>
        <w:rPr>
          <w:rFonts w:hint="eastAsia" w:ascii="仿宋" w:hAnsi="仿宋" w:eastAsia="仿宋" w:cs="仿宋"/>
          <w:w w:val="100"/>
          <w:sz w:val="32"/>
          <w:szCs w:val="32"/>
        </w:rPr>
        <w:t xml:space="preserve">以上报表见附件1。   </w:t>
      </w:r>
    </w:p>
    <w:p w14:paraId="5B482E07">
      <w:pPr>
        <w:spacing w:line="578" w:lineRule="exact"/>
        <w:rPr>
          <w:rFonts w:hint="eastAsia" w:ascii="黑体" w:hAnsi="黑体" w:eastAsia="黑体" w:cs="黑体"/>
          <w:sz w:val="32"/>
          <w:szCs w:val="32"/>
        </w:rPr>
      </w:pPr>
    </w:p>
    <w:p w14:paraId="31BF6332">
      <w:pPr>
        <w:spacing w:line="578" w:lineRule="exact"/>
        <w:jc w:val="center"/>
        <w:rPr>
          <w:rFonts w:hint="eastAsia" w:ascii="黑体" w:hAnsi="ˎ̥" w:eastAsia="黑体"/>
          <w:sz w:val="32"/>
          <w:szCs w:val="32"/>
        </w:rPr>
      </w:pPr>
      <w:bookmarkStart w:id="71" w:name="_Toc27590_WPSOffice_Level1"/>
      <w:bookmarkStart w:id="72" w:name="_Toc16686_WPSOffice_Level1"/>
      <w:bookmarkStart w:id="73" w:name="_Toc28629_WPSOffice_Level1"/>
      <w:bookmarkStart w:id="74" w:name="_Toc31264_WPSOffice_Level1"/>
      <w:bookmarkStart w:id="75" w:name="_Toc29683_WPSOffice_Level1"/>
      <w:bookmarkStart w:id="76" w:name="_Toc4402_WPSOffice_Level1"/>
      <w:r>
        <w:rPr>
          <w:rFonts w:hint="eastAsia" w:ascii="黑体" w:hAnsi="ˎ̥" w:eastAsia="黑体"/>
          <w:sz w:val="32"/>
          <w:szCs w:val="32"/>
        </w:rPr>
        <w:t xml:space="preserve">第三部分  </w:t>
      </w:r>
      <w:r>
        <w:rPr>
          <w:rFonts w:hint="default" w:ascii="黑体" w:hAnsi="ˎ̥" w:eastAsia="黑体"/>
          <w:sz w:val="32"/>
          <w:szCs w:val="32"/>
          <w:lang w:val="en-US"/>
        </w:rPr>
        <w:t>2024</w:t>
      </w:r>
      <w:r>
        <w:rPr>
          <w:rFonts w:hint="eastAsia" w:ascii="黑体" w:hAnsi="ˎ̥" w:eastAsia="黑体"/>
          <w:sz w:val="32"/>
          <w:szCs w:val="32"/>
        </w:rPr>
        <w:t>年度部门决算情况说明</w:t>
      </w:r>
      <w:bookmarkEnd w:id="71"/>
      <w:bookmarkEnd w:id="72"/>
      <w:bookmarkEnd w:id="73"/>
      <w:bookmarkEnd w:id="74"/>
      <w:bookmarkEnd w:id="75"/>
      <w:bookmarkEnd w:id="76"/>
    </w:p>
    <w:p w14:paraId="0108672B">
      <w:pPr>
        <w:spacing w:line="578" w:lineRule="exact"/>
        <w:jc w:val="center"/>
        <w:rPr>
          <w:rFonts w:hint="eastAsia" w:ascii="黑体" w:hAnsi="ˎ̥" w:eastAsia="黑体"/>
          <w:sz w:val="32"/>
          <w:szCs w:val="32"/>
        </w:rPr>
      </w:pPr>
    </w:p>
    <w:p w14:paraId="1051B5A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黑体" w:hAnsi="黑体" w:eastAsia="黑体" w:cs="黑体"/>
          <w:bCs/>
          <w:sz w:val="32"/>
          <w:szCs w:val="32"/>
        </w:rPr>
        <w:t>一、收入支出总体情况说明</w:t>
      </w:r>
      <w:r>
        <w:rPr>
          <w:rFonts w:hint="eastAsia" w:ascii="黑体" w:hAnsi="黑体" w:eastAsia="黑体" w:cs="黑体"/>
          <w:bCs/>
          <w:sz w:val="32"/>
          <w:szCs w:val="32"/>
        </w:rPr>
        <w:br w:type="textWrapping"/>
      </w:r>
      <w:r>
        <w:rPr>
          <w:rFonts w:hint="eastAsia" w:ascii="楷体_GB2312" w:hAnsi="ˎ̥" w:eastAsia="楷体_GB2312"/>
          <w:sz w:val="32"/>
          <w:szCs w:val="32"/>
        </w:rPr>
        <w:t xml:space="preserve">    </w:t>
      </w:r>
      <w:r>
        <w:rPr>
          <w:rFonts w:hint="default" w:ascii="仿宋_GB2312" w:hAnsi="ˎ̥" w:eastAsia="仿宋_GB2312"/>
          <w:sz w:val="32"/>
          <w:szCs w:val="32"/>
          <w:lang w:val="en-US"/>
        </w:rPr>
        <w:t>2024</w:t>
      </w:r>
      <w:r>
        <w:rPr>
          <w:rFonts w:hint="eastAsia" w:ascii="仿宋_GB2312" w:hAnsi="ˎ̥" w:eastAsia="仿宋_GB2312"/>
          <w:sz w:val="32"/>
          <w:szCs w:val="32"/>
        </w:rPr>
        <w:t>年度收入总计</w:t>
      </w:r>
      <w:r>
        <w:rPr>
          <w:rFonts w:hint="default" w:ascii="仿宋_GB2312" w:hAnsi="ˎ̥" w:eastAsia="仿宋_GB2312"/>
          <w:color w:val="FF0000"/>
          <w:sz w:val="32"/>
          <w:szCs w:val="32"/>
          <w:lang w:val="en-US"/>
        </w:rPr>
        <w:t>4,505.13</w:t>
      </w:r>
      <w:r>
        <w:rPr>
          <w:rFonts w:hint="eastAsia" w:ascii="仿宋_GB2312" w:hAnsi="ˎ̥" w:eastAsia="仿宋_GB2312"/>
          <w:sz w:val="32"/>
          <w:szCs w:val="32"/>
        </w:rPr>
        <w:t>万元，支出总计</w:t>
      </w:r>
      <w:r>
        <w:rPr>
          <w:rFonts w:hint="default" w:ascii="仿宋_GB2312" w:hAnsi="ˎ̥" w:eastAsia="仿宋_GB2312"/>
          <w:color w:val="FF0000"/>
          <w:sz w:val="32"/>
          <w:szCs w:val="32"/>
          <w:lang w:val="en-US"/>
        </w:rPr>
        <w:t>4,505.13</w:t>
      </w:r>
      <w:r>
        <w:rPr>
          <w:rFonts w:hint="eastAsia" w:ascii="仿宋_GB2312" w:hAnsi="ˎ̥" w:eastAsia="仿宋_GB2312"/>
          <w:sz w:val="32"/>
          <w:szCs w:val="32"/>
        </w:rPr>
        <w:t>万元，与</w:t>
      </w:r>
      <w:r>
        <w:rPr>
          <w:rFonts w:hint="default" w:ascii="仿宋_GB2312" w:hAnsi="ˎ̥" w:eastAsia="仿宋_GB2312"/>
          <w:sz w:val="32"/>
          <w:szCs w:val="32"/>
          <w:lang w:val="en-US"/>
        </w:rPr>
        <w:t>2023</w:t>
      </w:r>
      <w:r>
        <w:rPr>
          <w:rFonts w:hint="eastAsia" w:ascii="仿宋_GB2312" w:hAnsi="ˎ̥" w:eastAsia="仿宋_GB2312"/>
          <w:sz w:val="32"/>
          <w:szCs w:val="32"/>
        </w:rPr>
        <w:t>年度相比，收入总计增加</w:t>
      </w:r>
      <w:r>
        <w:rPr>
          <w:rFonts w:hint="eastAsia" w:ascii="仿宋_GB2312" w:hAnsi="ˎ̥" w:eastAsia="仿宋_GB2312"/>
          <w:color w:val="FF0000"/>
          <w:sz w:val="32"/>
          <w:szCs w:val="32"/>
          <w:lang w:val="en-US" w:eastAsia="zh-CN"/>
        </w:rPr>
        <w:t>276.59</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增长</w:t>
      </w:r>
      <w:r>
        <w:rPr>
          <w:rFonts w:hint="eastAsia" w:ascii="仿宋_GB2312" w:hAnsi="ˎ̥" w:eastAsia="仿宋_GB2312"/>
          <w:sz w:val="32"/>
          <w:szCs w:val="32"/>
          <w:lang w:val="en-US" w:eastAsia="zh-CN"/>
        </w:rPr>
        <w:t>,6.1</w:t>
      </w:r>
      <w:r>
        <w:rPr>
          <w:rFonts w:hint="eastAsia" w:ascii="仿宋_GB2312" w:hAnsi="ˎ̥" w:eastAsia="仿宋_GB2312"/>
          <w:sz w:val="32"/>
          <w:szCs w:val="32"/>
        </w:rPr>
        <w:t>%、支出总计各增加</w:t>
      </w:r>
      <w:r>
        <w:rPr>
          <w:rFonts w:hint="eastAsia" w:ascii="仿宋_GB2312" w:hAnsi="ˎ̥" w:eastAsia="仿宋_GB2312"/>
          <w:sz w:val="32"/>
          <w:szCs w:val="32"/>
          <w:lang w:val="en-US" w:eastAsia="zh-CN"/>
        </w:rPr>
        <w:t>82.92</w:t>
      </w:r>
      <w:r>
        <w:rPr>
          <w:rFonts w:hint="eastAsia" w:ascii="仿宋_GB2312" w:hAnsi="ˎ̥" w:eastAsia="仿宋_GB2312"/>
          <w:sz w:val="32"/>
          <w:szCs w:val="32"/>
        </w:rPr>
        <w:t>万元，增长（下降）</w:t>
      </w:r>
      <w:r>
        <w:rPr>
          <w:rFonts w:hint="eastAsia" w:ascii="仿宋_GB2312" w:hAnsi="ˎ̥" w:eastAsia="仿宋_GB2312"/>
          <w:color w:val="FF0000"/>
          <w:sz w:val="32"/>
          <w:szCs w:val="32"/>
          <w:lang w:val="en-US" w:eastAsia="zh-CN"/>
        </w:rPr>
        <w:t>1.84</w:t>
      </w:r>
      <w:r>
        <w:rPr>
          <w:rFonts w:hint="eastAsia" w:ascii="仿宋_GB2312" w:hAnsi="ˎ̥" w:eastAsia="仿宋_GB2312"/>
          <w:sz w:val="32"/>
          <w:szCs w:val="32"/>
        </w:rPr>
        <w:t>%。主要原因：一是</w:t>
      </w:r>
      <w:r>
        <w:rPr>
          <w:rFonts w:hint="eastAsia" w:ascii="仿宋_GB2312" w:hAnsi="ˎ̥" w:eastAsia="仿宋_GB2312"/>
          <w:sz w:val="32"/>
          <w:szCs w:val="32"/>
          <w:lang w:val="en-US" w:eastAsia="zh-CN"/>
        </w:rPr>
        <w:t>2024年收到中央转移支付资金食品药品监管补助</w:t>
      </w:r>
      <w:r>
        <w:rPr>
          <w:rFonts w:hint="eastAsia" w:ascii="仿宋_GB2312" w:hAnsi="ˎ̥" w:eastAsia="仿宋_GB2312"/>
          <w:sz w:val="32"/>
          <w:szCs w:val="32"/>
        </w:rPr>
        <w:t>；二是</w:t>
      </w:r>
      <w:r>
        <w:rPr>
          <w:rFonts w:hint="eastAsia" w:ascii="仿宋_GB2312" w:hAnsi="ˎ̥" w:eastAsia="仿宋_GB2312"/>
          <w:sz w:val="32"/>
          <w:szCs w:val="32"/>
          <w:lang w:eastAsia="zh-CN"/>
        </w:rPr>
        <w:t>检测中心项目经费增加</w:t>
      </w:r>
      <w:r>
        <w:rPr>
          <w:rFonts w:hint="eastAsia" w:ascii="仿宋_GB2312" w:hAnsi="ˎ̥" w:eastAsia="仿宋_GB2312"/>
          <w:sz w:val="32"/>
          <w:szCs w:val="32"/>
        </w:rPr>
        <w:t>。</w:t>
      </w:r>
    </w:p>
    <w:p w14:paraId="05B8AFD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（一</w:t>
      </w:r>
      <w:r>
        <w:rPr>
          <w:rFonts w:ascii="楷体" w:hAnsi="楷体" w:eastAsia="楷体" w:cs="楷体"/>
          <w:sz w:val="32"/>
          <w:szCs w:val="32"/>
        </w:rPr>
        <w:t>）</w:t>
      </w:r>
      <w:r>
        <w:rPr>
          <w:rFonts w:hint="eastAsia" w:ascii="楷体" w:hAnsi="楷体" w:eastAsia="楷体" w:cs="楷体"/>
          <w:sz w:val="32"/>
          <w:szCs w:val="32"/>
        </w:rPr>
        <w:t>收入</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p>
    <w:p w14:paraId="596A4F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本年</w:t>
      </w:r>
      <w:r>
        <w:rPr>
          <w:rFonts w:ascii="仿宋_GB2312" w:hAnsi="ˎ̥" w:eastAsia="仿宋_GB2312"/>
          <w:sz w:val="32"/>
          <w:szCs w:val="32"/>
        </w:rPr>
        <w:t>收入</w:t>
      </w:r>
      <w:r>
        <w:rPr>
          <w:rFonts w:hint="default" w:ascii="仿宋_GB2312" w:hAnsi="ˎ̥" w:eastAsia="仿宋_GB2312"/>
          <w:color w:val="FF0000"/>
          <w:sz w:val="32"/>
          <w:szCs w:val="32"/>
          <w:lang w:val="en-US"/>
        </w:rPr>
        <w:t>4,420.07</w:t>
      </w:r>
      <w:r>
        <w:rPr>
          <w:rFonts w:hint="eastAsia" w:ascii="仿宋_GB2312" w:hAnsi="ˎ̥" w:eastAsia="仿宋_GB2312"/>
          <w:sz w:val="32"/>
          <w:szCs w:val="32"/>
        </w:rPr>
        <w:t>万元。</w:t>
      </w:r>
    </w:p>
    <w:p w14:paraId="3AB6C10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使用非财政拨款结余</w:t>
      </w:r>
      <w:r>
        <w:rPr>
          <w:rFonts w:hint="default" w:ascii="仿宋_GB2312" w:hAnsi="ˎ̥" w:eastAsia="仿宋_GB2312"/>
          <w:color w:val="FF0000"/>
          <w:sz w:val="32"/>
          <w:szCs w:val="32"/>
          <w:lang w:val="en-US"/>
        </w:rPr>
        <w:t>0.00</w:t>
      </w:r>
      <w:r>
        <w:rPr>
          <w:rFonts w:hint="eastAsia" w:ascii="仿宋_GB2312" w:hAnsi="ˎ̥" w:eastAsia="仿宋_GB2312"/>
          <w:sz w:val="32"/>
          <w:szCs w:val="32"/>
        </w:rPr>
        <w:t>万元，较</w:t>
      </w:r>
      <w:r>
        <w:rPr>
          <w:rFonts w:hint="default" w:ascii="仿宋_GB2312" w:hAnsi="ˎ̥" w:eastAsia="仿宋_GB2312"/>
          <w:sz w:val="32"/>
          <w:szCs w:val="32"/>
          <w:lang w:val="en-US"/>
        </w:rPr>
        <w:t>2023</w:t>
      </w:r>
      <w:r>
        <w:rPr>
          <w:rFonts w:hint="eastAsia" w:ascii="仿宋_GB2312" w:hAnsi="ˎ̥" w:eastAsia="仿宋_GB2312"/>
          <w:sz w:val="32"/>
          <w:szCs w:val="32"/>
        </w:rPr>
        <w:t>年度决算数增加（减少）</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w:t>
      </w:r>
    </w:p>
    <w:p w14:paraId="5B2819E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年初结转结余</w:t>
      </w:r>
      <w:r>
        <w:rPr>
          <w:rFonts w:hint="default" w:ascii="仿宋_GB2312" w:hAnsi="ˎ̥" w:eastAsia="仿宋_GB2312"/>
          <w:color w:val="FF0000"/>
          <w:sz w:val="32"/>
          <w:szCs w:val="32"/>
          <w:lang w:val="en-US"/>
        </w:rPr>
        <w:t>85.06</w:t>
      </w:r>
      <w:r>
        <w:rPr>
          <w:rFonts w:hint="eastAsia" w:ascii="仿宋_GB2312" w:hAnsi="ˎ̥" w:eastAsia="仿宋_GB2312"/>
          <w:sz w:val="32"/>
          <w:szCs w:val="32"/>
        </w:rPr>
        <w:t>万元，主要是</w:t>
      </w:r>
      <w:r>
        <w:rPr>
          <w:rFonts w:hint="eastAsia" w:ascii="仿宋_GB2312" w:hAnsi="ˎ̥" w:eastAsia="仿宋_GB2312"/>
          <w:sz w:val="32"/>
          <w:szCs w:val="32"/>
          <w:lang w:eastAsia="zh-CN"/>
        </w:rPr>
        <w:t>援藏资金</w:t>
      </w:r>
      <w:r>
        <w:rPr>
          <w:rFonts w:hint="eastAsia" w:ascii="仿宋_GB2312" w:hAnsi="ˎ̥" w:eastAsia="仿宋_GB2312"/>
          <w:sz w:val="32"/>
          <w:szCs w:val="32"/>
        </w:rPr>
        <w:t>（简要说明结转结余形成或来源），较</w:t>
      </w:r>
      <w:r>
        <w:rPr>
          <w:rFonts w:hint="default" w:ascii="仿宋_GB2312" w:hAnsi="ˎ̥" w:eastAsia="仿宋_GB2312"/>
          <w:sz w:val="32"/>
          <w:szCs w:val="32"/>
          <w:lang w:val="en-US"/>
        </w:rPr>
        <w:t>2023</w:t>
      </w:r>
      <w:r>
        <w:rPr>
          <w:rFonts w:hint="eastAsia" w:ascii="仿宋_GB2312" w:hAnsi="ˎ̥" w:eastAsia="仿宋_GB2312"/>
          <w:sz w:val="32"/>
          <w:szCs w:val="32"/>
        </w:rPr>
        <w:t>年度决算数减少</w:t>
      </w:r>
      <w:r>
        <w:rPr>
          <w:rFonts w:hint="eastAsia" w:ascii="仿宋_GB2312" w:hAnsi="ˎ̥" w:eastAsia="仿宋_GB2312"/>
          <w:sz w:val="32"/>
          <w:szCs w:val="32"/>
          <w:lang w:val="en-US" w:eastAsia="zh-CN"/>
        </w:rPr>
        <w:t>193.67</w:t>
      </w:r>
      <w:r>
        <w:rPr>
          <w:rFonts w:hint="eastAsia" w:ascii="仿宋_GB2312" w:hAnsi="ˎ̥" w:eastAsia="仿宋_GB2312"/>
          <w:sz w:val="32"/>
          <w:szCs w:val="32"/>
        </w:rPr>
        <w:t>万元，下降</w:t>
      </w:r>
      <w:r>
        <w:rPr>
          <w:rFonts w:hint="eastAsia" w:ascii="仿宋_GB2312" w:hAnsi="ˎ̥" w:eastAsia="仿宋_GB2312"/>
          <w:color w:val="FF0000"/>
          <w:sz w:val="32"/>
          <w:szCs w:val="32"/>
          <w:lang w:val="en-US" w:eastAsia="zh-CN"/>
        </w:rPr>
        <w:t>69.5</w:t>
      </w:r>
      <w:r>
        <w:rPr>
          <w:rFonts w:hint="eastAsia" w:ascii="仿宋_GB2312" w:hAnsi="ˎ̥" w:eastAsia="仿宋_GB2312"/>
          <w:sz w:val="32"/>
          <w:szCs w:val="32"/>
        </w:rPr>
        <w:t>%，主要原因是</w:t>
      </w:r>
      <w:r>
        <w:rPr>
          <w:rFonts w:hint="eastAsia" w:ascii="仿宋_GB2312" w:hAnsi="ˎ̥" w:eastAsia="仿宋_GB2312"/>
          <w:sz w:val="32"/>
          <w:szCs w:val="32"/>
          <w:lang w:eastAsia="zh-CN"/>
        </w:rPr>
        <w:t>商品质量检测中心项目资金减少</w:t>
      </w:r>
      <w:r>
        <w:rPr>
          <w:rFonts w:hint="eastAsia" w:ascii="仿宋_GB2312" w:hAnsi="ˎ̥" w:eastAsia="仿宋_GB2312"/>
          <w:sz w:val="32"/>
          <w:szCs w:val="32"/>
        </w:rPr>
        <w:t>。</w:t>
      </w:r>
    </w:p>
    <w:p w14:paraId="74FADFF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（二</w:t>
      </w:r>
      <w:r>
        <w:rPr>
          <w:rFonts w:ascii="楷体" w:hAnsi="楷体" w:eastAsia="楷体" w:cs="楷体"/>
          <w:sz w:val="32"/>
          <w:szCs w:val="32"/>
        </w:rPr>
        <w:t>）</w:t>
      </w:r>
      <w:r>
        <w:rPr>
          <w:rFonts w:hint="eastAsia" w:ascii="楷体" w:hAnsi="楷体" w:eastAsia="楷体" w:cs="楷体"/>
          <w:sz w:val="32"/>
          <w:szCs w:val="32"/>
        </w:rPr>
        <w:t>支出</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p>
    <w:p w14:paraId="788E8B0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本年支出</w:t>
      </w:r>
      <w:r>
        <w:rPr>
          <w:rFonts w:hint="default" w:ascii="仿宋_GB2312" w:hAnsi="ˎ̥" w:eastAsia="仿宋_GB2312"/>
          <w:color w:val="FF0000"/>
          <w:sz w:val="32"/>
          <w:szCs w:val="32"/>
          <w:lang w:val="en-US"/>
        </w:rPr>
        <w:t>4,412.93</w:t>
      </w:r>
      <w:r>
        <w:rPr>
          <w:rFonts w:hint="eastAsia" w:ascii="仿宋_GB2312" w:hAnsi="ˎ̥" w:eastAsia="仿宋_GB2312"/>
          <w:sz w:val="32"/>
          <w:szCs w:val="32"/>
        </w:rPr>
        <w:t>万元。</w:t>
      </w:r>
    </w:p>
    <w:p w14:paraId="3826849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结余分配</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p>
    <w:p w14:paraId="33C8A05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年末结转结余</w:t>
      </w:r>
      <w:r>
        <w:rPr>
          <w:rFonts w:hint="default" w:ascii="仿宋_GB2312" w:hAnsi="ˎ̥" w:eastAsia="仿宋_GB2312"/>
          <w:color w:val="FF0000"/>
          <w:sz w:val="32"/>
          <w:szCs w:val="32"/>
          <w:lang w:val="en-US"/>
        </w:rPr>
        <w:t>92.20</w:t>
      </w:r>
      <w:r>
        <w:rPr>
          <w:rFonts w:hint="eastAsia" w:ascii="仿宋_GB2312" w:hAnsi="ˎ̥" w:eastAsia="仿宋_GB2312"/>
          <w:sz w:val="32"/>
          <w:szCs w:val="32"/>
        </w:rPr>
        <w:t>万元，主要是</w:t>
      </w:r>
      <w:r>
        <w:rPr>
          <w:rFonts w:hint="eastAsia" w:ascii="仿宋_GB2312" w:hAnsi="ˎ̥" w:eastAsia="仿宋_GB2312"/>
          <w:sz w:val="32"/>
          <w:szCs w:val="32"/>
          <w:lang w:eastAsia="zh-CN"/>
        </w:rPr>
        <w:t>援藏资金</w:t>
      </w:r>
      <w:r>
        <w:rPr>
          <w:rFonts w:hint="eastAsia" w:ascii="仿宋_GB2312" w:hAnsi="ˎ̥" w:eastAsia="仿宋_GB2312"/>
          <w:sz w:val="32"/>
          <w:szCs w:val="32"/>
        </w:rPr>
        <w:t>（简要说明结转结余的构成），较</w:t>
      </w:r>
      <w:r>
        <w:rPr>
          <w:rFonts w:hint="default" w:ascii="仿宋_GB2312" w:hAnsi="ˎ̥" w:eastAsia="仿宋_GB2312"/>
          <w:sz w:val="32"/>
          <w:szCs w:val="32"/>
          <w:lang w:val="en-US"/>
        </w:rPr>
        <w:t>2023</w:t>
      </w:r>
      <w:r>
        <w:rPr>
          <w:rFonts w:hint="eastAsia" w:ascii="仿宋_GB2312" w:hAnsi="ˎ̥" w:eastAsia="仿宋_GB2312"/>
          <w:sz w:val="32"/>
          <w:szCs w:val="32"/>
        </w:rPr>
        <w:t>年度决算数</w:t>
      </w:r>
      <w:r>
        <w:rPr>
          <w:rFonts w:hint="eastAsia" w:ascii="仿宋_GB2312" w:hAnsi="ˎ̥" w:eastAsia="仿宋_GB2312"/>
          <w:sz w:val="32"/>
          <w:szCs w:val="32"/>
          <w:lang w:eastAsia="zh-CN"/>
        </w:rPr>
        <w:t>增加</w:t>
      </w:r>
      <w:r>
        <w:rPr>
          <w:rFonts w:hint="eastAsia" w:ascii="仿宋_GB2312" w:hAnsi="ˎ̥" w:eastAsia="仿宋_GB2312"/>
          <w:color w:val="FF0000"/>
          <w:sz w:val="32"/>
          <w:szCs w:val="32"/>
          <w:lang w:val="en-US" w:eastAsia="zh-CN"/>
        </w:rPr>
        <w:t>7.14</w:t>
      </w:r>
      <w:r>
        <w:rPr>
          <w:rFonts w:hint="eastAsia" w:ascii="仿宋_GB2312" w:hAnsi="ˎ̥" w:eastAsia="仿宋_GB2312"/>
          <w:sz w:val="32"/>
          <w:szCs w:val="32"/>
        </w:rPr>
        <w:t>万元，</w:t>
      </w:r>
      <w:r>
        <w:rPr>
          <w:rFonts w:hint="eastAsia" w:ascii="仿宋_GB2312" w:hAnsi="ˎ̥" w:eastAsia="仿宋_GB2312"/>
          <w:sz w:val="32"/>
          <w:szCs w:val="32"/>
          <w:lang w:eastAsia="zh-CN"/>
        </w:rPr>
        <w:t>增长</w:t>
      </w:r>
      <w:r>
        <w:rPr>
          <w:rFonts w:hint="eastAsia" w:ascii="仿宋_GB2312" w:hAnsi="ˎ̥" w:eastAsia="仿宋_GB2312"/>
          <w:color w:val="FF0000"/>
          <w:sz w:val="32"/>
          <w:szCs w:val="32"/>
          <w:lang w:val="en-US" w:eastAsia="zh-CN"/>
        </w:rPr>
        <w:t>8.39</w:t>
      </w:r>
      <w:r>
        <w:rPr>
          <w:rFonts w:hint="eastAsia" w:ascii="仿宋_GB2312" w:hAnsi="ˎ̥" w:eastAsia="仿宋_GB2312"/>
          <w:sz w:val="32"/>
          <w:szCs w:val="32"/>
        </w:rPr>
        <w:t>%，主要原因是</w:t>
      </w:r>
      <w:r>
        <w:rPr>
          <w:rFonts w:hint="eastAsia" w:ascii="仿宋_GB2312" w:hAnsi="ˎ̥" w:eastAsia="仿宋_GB2312"/>
          <w:sz w:val="32"/>
          <w:szCs w:val="32"/>
          <w:lang w:eastAsia="zh-CN"/>
        </w:rPr>
        <w:t>援藏资金增加</w:t>
      </w:r>
      <w:r>
        <w:rPr>
          <w:rFonts w:hint="eastAsia" w:ascii="仿宋_GB2312" w:hAnsi="ˎ̥" w:eastAsia="仿宋_GB2312"/>
          <w:sz w:val="32"/>
          <w:szCs w:val="32"/>
        </w:rPr>
        <w:t>。</w:t>
      </w:r>
    </w:p>
    <w:p w14:paraId="5ABFB0DE">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sz w:val="32"/>
          <w:szCs w:val="32"/>
        </w:rPr>
        <w:t xml:space="preserve">   （注</w:t>
      </w:r>
      <w:r>
        <w:rPr>
          <w:rFonts w:ascii="仿宋_GB2312" w:hAnsi="ˎ̥" w:eastAsia="仿宋_GB2312"/>
          <w:sz w:val="32"/>
          <w:szCs w:val="32"/>
        </w:rPr>
        <w:t>：</w:t>
      </w:r>
      <w:r>
        <w:rPr>
          <w:rFonts w:hint="default" w:ascii="仿宋_GB2312" w:hAnsi="ˎ̥" w:eastAsia="仿宋_GB2312"/>
          <w:sz w:val="32"/>
          <w:szCs w:val="32"/>
          <w:lang w:val="en-US"/>
        </w:rPr>
        <w:t>2024</w:t>
      </w:r>
      <w:r>
        <w:rPr>
          <w:rFonts w:hint="eastAsia" w:ascii="仿宋_GB2312" w:hAnsi="ˎ̥" w:eastAsia="仿宋_GB2312"/>
          <w:sz w:val="32"/>
          <w:szCs w:val="32"/>
        </w:rPr>
        <w:t>年度相关决算数据可取自附件财决公开01、02</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03</w:t>
      </w:r>
      <w:r>
        <w:rPr>
          <w:rFonts w:hint="eastAsia" w:ascii="仿宋_GB2312" w:hAnsi="ˎ̥" w:eastAsia="仿宋_GB2312"/>
          <w:sz w:val="32"/>
          <w:szCs w:val="32"/>
        </w:rPr>
        <w:t>表；</w:t>
      </w:r>
      <w:r>
        <w:rPr>
          <w:rFonts w:hint="default" w:ascii="仿宋_GB2312" w:hAnsi="ˎ̥" w:eastAsia="仿宋_GB2312"/>
          <w:sz w:val="32"/>
          <w:szCs w:val="32"/>
          <w:lang w:val="en-US"/>
        </w:rPr>
        <w:t>2023</w:t>
      </w:r>
      <w:r>
        <w:rPr>
          <w:rFonts w:hint="eastAsia" w:ascii="仿宋_GB2312" w:hAnsi="ˎ̥" w:eastAsia="仿宋_GB2312"/>
          <w:sz w:val="32"/>
          <w:szCs w:val="32"/>
        </w:rPr>
        <w:t>年度相关决算数据可取自</w:t>
      </w:r>
      <w:r>
        <w:rPr>
          <w:rFonts w:hint="default" w:ascii="仿宋_GB2312" w:hAnsi="ˎ̥" w:eastAsia="仿宋_GB2312"/>
          <w:sz w:val="32"/>
          <w:szCs w:val="32"/>
          <w:lang w:val="en-US"/>
        </w:rPr>
        <w:t>2023</w:t>
      </w:r>
      <w:r>
        <w:rPr>
          <w:rFonts w:hint="eastAsia" w:ascii="仿宋_GB2312" w:hAnsi="ˎ̥" w:eastAsia="仿宋_GB2312"/>
          <w:sz w:val="32"/>
          <w:szCs w:val="32"/>
        </w:rPr>
        <w:t>年度部门决算报表财决01表《收入支出决算总表》</w:t>
      </w:r>
      <w:r>
        <w:rPr>
          <w:rFonts w:hint="eastAsia" w:ascii="仿宋_GB2312" w:hAnsi="ˎ̥" w:eastAsia="仿宋_GB2312"/>
          <w:sz w:val="32"/>
          <w:szCs w:val="32"/>
          <w:lang w:eastAsia="zh-CN"/>
        </w:rPr>
        <w:t>。</w:t>
      </w:r>
      <w:r>
        <w:rPr>
          <w:rFonts w:hint="eastAsia" w:ascii="仿宋_GB2312" w:hAnsi="ˎ̥" w:eastAsia="仿宋_GB2312"/>
          <w:sz w:val="32"/>
          <w:szCs w:val="32"/>
        </w:rPr>
        <w:t>）</w:t>
      </w:r>
    </w:p>
    <w:p w14:paraId="0F317C3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黑体" w:hAnsi="黑体" w:eastAsia="黑体" w:cs="黑体"/>
          <w:bCs/>
          <w:sz w:val="32"/>
          <w:szCs w:val="32"/>
        </w:rPr>
        <w:t>二、收入决算情况说明</w:t>
      </w:r>
      <w:r>
        <w:rPr>
          <w:rFonts w:hint="eastAsia" w:ascii="黑体" w:hAnsi="黑体" w:eastAsia="黑体" w:cs="黑体"/>
          <w:bCs/>
          <w:sz w:val="32"/>
          <w:szCs w:val="32"/>
        </w:rPr>
        <w:br w:type="textWrapping"/>
      </w:r>
      <w:r>
        <w:rPr>
          <w:rFonts w:hint="eastAsia" w:ascii="仿宋_GB2312" w:hAnsi="ˎ̥" w:eastAsia="仿宋_GB2312"/>
          <w:sz w:val="32"/>
          <w:szCs w:val="32"/>
        </w:rPr>
        <w:t xml:space="preserve">    本年收入</w:t>
      </w:r>
      <w:r>
        <w:rPr>
          <w:rFonts w:hint="default" w:ascii="仿宋_GB2312" w:hAnsi="ˎ̥" w:eastAsia="仿宋_GB2312"/>
          <w:color w:val="FF0000"/>
          <w:sz w:val="32"/>
          <w:szCs w:val="32"/>
          <w:lang w:val="en-US"/>
        </w:rPr>
        <w:t>4,420.07</w:t>
      </w:r>
      <w:r>
        <w:rPr>
          <w:rFonts w:hint="eastAsia" w:ascii="仿宋_GB2312" w:hAnsi="ˎ̥" w:eastAsia="仿宋_GB2312"/>
          <w:sz w:val="32"/>
          <w:szCs w:val="32"/>
        </w:rPr>
        <w:t>万元，其中：财政拨款收入</w:t>
      </w:r>
      <w:r>
        <w:rPr>
          <w:rFonts w:hint="default" w:ascii="仿宋_GB2312" w:hAnsi="ˎ̥" w:eastAsia="仿宋_GB2312"/>
          <w:color w:val="FF0000"/>
          <w:sz w:val="32"/>
          <w:szCs w:val="32"/>
          <w:lang w:val="en-US"/>
        </w:rPr>
        <w:t>4,302.40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97.3</w:t>
      </w:r>
      <w:r>
        <w:rPr>
          <w:rFonts w:hint="eastAsia" w:ascii="仿宋_GB2312" w:hAnsi="ˎ̥" w:eastAsia="仿宋_GB2312"/>
          <w:sz w:val="32"/>
          <w:szCs w:val="32"/>
        </w:rPr>
        <w:t>%；上级补助收入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%；事业收入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%；经营收入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%；附属单位上缴收入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%；其他收入</w:t>
      </w:r>
      <w:r>
        <w:rPr>
          <w:rFonts w:hint="default" w:ascii="仿宋_GB2312" w:hAnsi="ˎ̥" w:eastAsia="仿宋_GB2312"/>
          <w:color w:val="FF0000"/>
          <w:sz w:val="32"/>
          <w:szCs w:val="32"/>
          <w:lang w:val="en-US"/>
        </w:rPr>
        <w:t>117.67</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2.7</w:t>
      </w:r>
      <w:r>
        <w:rPr>
          <w:rFonts w:hint="eastAsia" w:ascii="仿宋_GB2312" w:hAnsi="ˎ̥" w:eastAsia="仿宋_GB2312"/>
          <w:sz w:val="32"/>
          <w:szCs w:val="32"/>
        </w:rPr>
        <w:t>%。</w:t>
      </w:r>
    </w:p>
    <w:p w14:paraId="3B02073F">
      <w:pPr>
        <w:keepNext w:val="0"/>
        <w:keepLines w:val="0"/>
        <w:pageBreakBefore w:val="0"/>
        <w:widowControl w:val="0"/>
        <w:kinsoku/>
        <w:wordWrap/>
        <w:overflowPunct/>
        <w:topLinePunct w:val="0"/>
        <w:autoSpaceDE/>
        <w:autoSpaceDN/>
        <w:bidi w:val="0"/>
        <w:adjustRightInd/>
        <w:snapToGrid/>
        <w:spacing w:line="578" w:lineRule="exact"/>
        <w:ind w:left="412" w:leftChars="196"/>
        <w:textAlignment w:val="auto"/>
        <w:rPr>
          <w:rFonts w:hint="eastAsia" w:ascii="仿宋_GB2312" w:hAnsi="ˎ̥" w:eastAsia="仿宋_GB2312"/>
          <w:sz w:val="32"/>
          <w:szCs w:val="32"/>
        </w:rPr>
      </w:pPr>
      <w:r>
        <w:rPr>
          <w:rFonts w:hint="eastAsia" w:ascii="仿宋_GB2312" w:hAnsi="ˎ̥" w:eastAsia="仿宋_GB2312"/>
          <w:sz w:val="32"/>
          <w:szCs w:val="32"/>
        </w:rPr>
        <w:t xml:space="preserve">  （注</w:t>
      </w:r>
      <w:r>
        <w:rPr>
          <w:rFonts w:ascii="仿宋_GB2312" w:hAnsi="ˎ̥" w:eastAsia="仿宋_GB2312"/>
          <w:sz w:val="32"/>
          <w:szCs w:val="32"/>
        </w:rPr>
        <w:t>：</w:t>
      </w:r>
      <w:r>
        <w:rPr>
          <w:rFonts w:hint="eastAsia" w:ascii="仿宋_GB2312" w:hAnsi="ˎ̥" w:eastAsia="仿宋_GB2312"/>
          <w:sz w:val="32"/>
          <w:szCs w:val="32"/>
        </w:rPr>
        <w:t>上述各项收入数可取自财决公开02表</w:t>
      </w:r>
      <w:r>
        <w:rPr>
          <w:rFonts w:hint="eastAsia" w:ascii="仿宋_GB2312" w:hAnsi="ˎ̥" w:eastAsia="仿宋_GB2312"/>
          <w:sz w:val="32"/>
          <w:szCs w:val="32"/>
          <w:lang w:eastAsia="zh-CN"/>
        </w:rPr>
        <w:t>。</w:t>
      </w:r>
      <w:r>
        <w:rPr>
          <w:rFonts w:hint="eastAsia" w:ascii="仿宋_GB2312" w:hAnsi="ˎ̥" w:eastAsia="仿宋_GB2312"/>
          <w:sz w:val="32"/>
          <w:szCs w:val="32"/>
        </w:rPr>
        <w:t>）</w:t>
      </w:r>
    </w:p>
    <w:p w14:paraId="5FF693E6">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三、支出决算情况说明</w:t>
      </w:r>
    </w:p>
    <w:p w14:paraId="294101D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本年支出</w:t>
      </w:r>
      <w:r>
        <w:rPr>
          <w:rFonts w:hint="default" w:ascii="仿宋_GB2312" w:hAnsi="ˎ̥" w:eastAsia="仿宋_GB2312"/>
          <w:color w:val="FF0000"/>
          <w:sz w:val="32"/>
          <w:szCs w:val="32"/>
          <w:lang w:val="en-US"/>
        </w:rPr>
        <w:t>4,412.93</w:t>
      </w:r>
      <w:r>
        <w:rPr>
          <w:rFonts w:hint="eastAsia" w:ascii="仿宋_GB2312" w:hAnsi="ˎ̥" w:eastAsia="仿宋_GB2312"/>
          <w:sz w:val="32"/>
          <w:szCs w:val="32"/>
        </w:rPr>
        <w:t>万元，其中：基本支出</w:t>
      </w:r>
      <w:r>
        <w:rPr>
          <w:rFonts w:hint="default" w:ascii="仿宋_GB2312" w:hAnsi="ˎ̥" w:eastAsia="仿宋_GB2312"/>
          <w:color w:val="FF0000"/>
          <w:sz w:val="32"/>
          <w:szCs w:val="32"/>
          <w:lang w:val="en-US"/>
        </w:rPr>
        <w:t>3,738.26</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84.7</w:t>
      </w:r>
      <w:r>
        <w:rPr>
          <w:rFonts w:hint="eastAsia" w:ascii="仿宋_GB2312" w:hAnsi="ˎ̥" w:eastAsia="仿宋_GB2312"/>
          <w:sz w:val="32"/>
          <w:szCs w:val="32"/>
        </w:rPr>
        <w:t>%；项目支出</w:t>
      </w:r>
      <w:r>
        <w:rPr>
          <w:rFonts w:hint="default" w:ascii="仿宋_GB2312" w:hAnsi="ˎ̥" w:eastAsia="仿宋_GB2312"/>
          <w:color w:val="FF0000"/>
          <w:sz w:val="32"/>
          <w:szCs w:val="32"/>
          <w:lang w:val="en-US"/>
        </w:rPr>
        <w:t>674.67</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15.3</w:t>
      </w:r>
      <w:r>
        <w:rPr>
          <w:rFonts w:hint="eastAsia" w:ascii="仿宋_GB2312" w:hAnsi="ˎ̥" w:eastAsia="仿宋_GB2312"/>
          <w:sz w:val="32"/>
          <w:szCs w:val="32"/>
        </w:rPr>
        <w:t>%；上缴上级支出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%；经营支出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%；对附属单位补助支出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w:t>
      </w:r>
    </w:p>
    <w:p w14:paraId="38872C8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上述各项支出数可取自财决公开03表</w:t>
      </w:r>
      <w:r>
        <w:rPr>
          <w:rFonts w:hint="eastAsia" w:ascii="仿宋_GB2312" w:hAnsi="ˎ̥" w:eastAsia="仿宋_GB2312"/>
          <w:sz w:val="32"/>
          <w:szCs w:val="32"/>
          <w:lang w:eastAsia="zh-CN"/>
        </w:rPr>
        <w:t>。</w:t>
      </w:r>
      <w:r>
        <w:rPr>
          <w:rFonts w:hint="eastAsia" w:ascii="仿宋_GB2312" w:hAnsi="ˎ̥" w:eastAsia="仿宋_GB2312"/>
          <w:sz w:val="32"/>
          <w:szCs w:val="32"/>
        </w:rPr>
        <w:t>）</w:t>
      </w:r>
    </w:p>
    <w:p w14:paraId="6EA146FC">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四、财政拨款收入支出决算总体情况说明</w:t>
      </w:r>
    </w:p>
    <w:p w14:paraId="3CD7D43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年度财政拨款收入</w:t>
      </w:r>
      <w:r>
        <w:rPr>
          <w:rFonts w:hint="default" w:ascii="仿宋_GB2312" w:hAnsi="ˎ̥" w:eastAsia="仿宋_GB2312"/>
          <w:color w:val="FF0000"/>
          <w:sz w:val="32"/>
          <w:szCs w:val="32"/>
          <w:lang w:val="en-US"/>
        </w:rPr>
        <w:t>4,302.40</w:t>
      </w:r>
      <w:r>
        <w:rPr>
          <w:rFonts w:hint="eastAsia" w:ascii="仿宋_GB2312" w:hAnsi="ˎ̥" w:eastAsia="仿宋_GB2312"/>
          <w:sz w:val="32"/>
          <w:szCs w:val="32"/>
        </w:rPr>
        <w:t>万元，支出</w:t>
      </w:r>
      <w:r>
        <w:rPr>
          <w:rFonts w:hint="default" w:ascii="仿宋_GB2312" w:hAnsi="ˎ̥" w:eastAsia="仿宋_GB2312"/>
          <w:color w:val="FF0000"/>
          <w:sz w:val="32"/>
          <w:szCs w:val="32"/>
          <w:lang w:val="en-US"/>
        </w:rPr>
        <w:t>4,302.40</w:t>
      </w:r>
      <w:r>
        <w:rPr>
          <w:rFonts w:hint="eastAsia" w:ascii="仿宋_GB2312" w:hAnsi="ˎ̥" w:eastAsia="仿宋_GB2312"/>
          <w:sz w:val="32"/>
          <w:szCs w:val="32"/>
        </w:rPr>
        <w:t>万元。与</w:t>
      </w:r>
      <w:r>
        <w:rPr>
          <w:rFonts w:hint="default" w:ascii="仿宋_GB2312" w:hAnsi="ˎ̥" w:eastAsia="仿宋_GB2312"/>
          <w:sz w:val="32"/>
          <w:szCs w:val="32"/>
          <w:lang w:val="en-US"/>
        </w:rPr>
        <w:t>2023</w:t>
      </w:r>
      <w:r>
        <w:rPr>
          <w:rFonts w:hint="eastAsia" w:ascii="仿宋_GB2312" w:hAnsi="ˎ̥" w:eastAsia="仿宋_GB2312"/>
          <w:sz w:val="32"/>
          <w:szCs w:val="32"/>
        </w:rPr>
        <w:t>年度相比，财政拨款收入增加</w:t>
      </w:r>
      <w:r>
        <w:rPr>
          <w:rFonts w:hint="eastAsia" w:ascii="仿宋_GB2312" w:hAnsi="ˎ̥" w:eastAsia="仿宋_GB2312"/>
          <w:color w:val="FF0000"/>
          <w:sz w:val="32"/>
          <w:szCs w:val="32"/>
          <w:lang w:val="en-US" w:eastAsia="zh-CN"/>
        </w:rPr>
        <w:t>151.79</w:t>
      </w:r>
      <w:r>
        <w:rPr>
          <w:rFonts w:hint="eastAsia" w:ascii="仿宋_GB2312" w:hAnsi="ˎ̥" w:eastAsia="仿宋_GB2312"/>
          <w:sz w:val="32"/>
          <w:szCs w:val="32"/>
        </w:rPr>
        <w:t>万元，增长</w:t>
      </w:r>
      <w:r>
        <w:rPr>
          <w:rFonts w:hint="eastAsia" w:ascii="仿宋_GB2312" w:hAnsi="ˎ̥" w:eastAsia="仿宋_GB2312"/>
          <w:color w:val="FF0000"/>
          <w:sz w:val="32"/>
          <w:szCs w:val="32"/>
          <w:lang w:val="en-US" w:eastAsia="zh-CN"/>
        </w:rPr>
        <w:t>3.65</w:t>
      </w:r>
      <w:r>
        <w:rPr>
          <w:rFonts w:hint="eastAsia" w:ascii="仿宋_GB2312" w:hAnsi="ˎ̥" w:eastAsia="仿宋_GB2312"/>
          <w:sz w:val="32"/>
          <w:szCs w:val="32"/>
        </w:rPr>
        <w:t>%，主要原因：一是</w:t>
      </w:r>
      <w:r>
        <w:rPr>
          <w:rFonts w:hint="eastAsia" w:ascii="仿宋_GB2312" w:hAnsi="ˎ̥" w:eastAsia="仿宋_GB2312"/>
          <w:sz w:val="32"/>
          <w:szCs w:val="32"/>
          <w:lang w:eastAsia="zh-CN"/>
        </w:rPr>
        <w:t>人员增加</w:t>
      </w:r>
      <w:r>
        <w:rPr>
          <w:rFonts w:hint="eastAsia" w:ascii="仿宋_GB2312" w:hAnsi="ˎ̥" w:eastAsia="仿宋_GB2312"/>
          <w:sz w:val="32"/>
          <w:szCs w:val="32"/>
        </w:rPr>
        <w:t>；二是</w:t>
      </w:r>
      <w:r>
        <w:rPr>
          <w:rFonts w:hint="eastAsia" w:ascii="仿宋_GB2312" w:hAnsi="ˎ̥" w:eastAsia="仿宋_GB2312"/>
          <w:sz w:val="32"/>
          <w:szCs w:val="32"/>
          <w:lang w:eastAsia="zh-CN"/>
        </w:rPr>
        <w:t>增加检测中心项目资金</w:t>
      </w:r>
      <w:r>
        <w:rPr>
          <w:rFonts w:hint="eastAsia" w:ascii="仿宋_GB2312" w:hAnsi="ˎ̥" w:eastAsia="仿宋_GB2312"/>
          <w:sz w:val="32"/>
          <w:szCs w:val="32"/>
        </w:rPr>
        <w:t>。支出增加</w:t>
      </w:r>
      <w:r>
        <w:rPr>
          <w:rFonts w:hint="eastAsia" w:ascii="仿宋_GB2312" w:hAnsi="ˎ̥" w:eastAsia="仿宋_GB2312"/>
          <w:color w:val="FF0000"/>
          <w:sz w:val="32"/>
          <w:szCs w:val="32"/>
          <w:lang w:val="en-US" w:eastAsia="zh-CN"/>
        </w:rPr>
        <w:t>1.9</w:t>
      </w:r>
      <w:r>
        <w:rPr>
          <w:rFonts w:hint="eastAsia" w:ascii="仿宋_GB2312" w:hAnsi="ˎ̥" w:eastAsia="仿宋_GB2312"/>
          <w:sz w:val="32"/>
          <w:szCs w:val="32"/>
        </w:rPr>
        <w:t>万元，增长</w:t>
      </w:r>
      <w:r>
        <w:rPr>
          <w:rFonts w:hint="eastAsia" w:ascii="仿宋_GB2312" w:hAnsi="ˎ̥" w:eastAsia="仿宋_GB2312"/>
          <w:color w:val="FF0000"/>
          <w:sz w:val="32"/>
          <w:szCs w:val="32"/>
          <w:lang w:val="en-US" w:eastAsia="zh-CN"/>
        </w:rPr>
        <w:t>0.4</w:t>
      </w:r>
      <w:r>
        <w:rPr>
          <w:rFonts w:hint="eastAsia" w:ascii="仿宋_GB2312" w:hAnsi="ˎ̥" w:eastAsia="仿宋_GB2312"/>
          <w:sz w:val="32"/>
          <w:szCs w:val="32"/>
        </w:rPr>
        <w:t>%，主要原因：</w:t>
      </w:r>
      <w:r>
        <w:rPr>
          <w:rFonts w:hint="eastAsia" w:ascii="仿宋_GB2312" w:hAnsi="ˎ̥" w:eastAsia="仿宋_GB2312"/>
          <w:sz w:val="32"/>
          <w:szCs w:val="32"/>
          <w:lang w:eastAsia="zh-CN"/>
        </w:rPr>
        <w:t>项目资金支出</w:t>
      </w:r>
      <w:r>
        <w:rPr>
          <w:rFonts w:hint="eastAsia" w:ascii="仿宋_GB2312" w:hAnsi="ˎ̥" w:eastAsia="仿宋_GB2312"/>
          <w:sz w:val="32"/>
          <w:szCs w:val="32"/>
        </w:rPr>
        <w:t>。</w:t>
      </w:r>
    </w:p>
    <w:p w14:paraId="2F2814C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财政拨款年初结转结余</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p>
    <w:p w14:paraId="604B142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财政拨款年末结转结余</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p>
    <w:p w14:paraId="49F4BEF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default" w:ascii="仿宋_GB2312" w:hAnsi="ˎ̥" w:eastAsia="仿宋_GB2312"/>
          <w:sz w:val="32"/>
          <w:szCs w:val="32"/>
          <w:lang w:val="en-US"/>
        </w:rPr>
        <w:t>2024</w:t>
      </w:r>
      <w:r>
        <w:rPr>
          <w:rFonts w:hint="eastAsia" w:ascii="仿宋_GB2312" w:hAnsi="ˎ̥" w:eastAsia="仿宋_GB2312"/>
          <w:sz w:val="32"/>
          <w:szCs w:val="32"/>
        </w:rPr>
        <w:t>年度决算相关数据可取自财决公开04表。</w:t>
      </w:r>
      <w:r>
        <w:rPr>
          <w:rFonts w:hint="default" w:ascii="仿宋_GB2312" w:hAnsi="ˎ̥" w:eastAsia="仿宋_GB2312"/>
          <w:sz w:val="32"/>
          <w:szCs w:val="32"/>
          <w:lang w:val="en-US"/>
        </w:rPr>
        <w:t>2023</w:t>
      </w:r>
      <w:r>
        <w:rPr>
          <w:rFonts w:hint="eastAsia" w:ascii="仿宋_GB2312" w:hAnsi="ˎ̥" w:eastAsia="仿宋_GB2312"/>
          <w:sz w:val="32"/>
          <w:szCs w:val="32"/>
        </w:rPr>
        <w:t>年度决算相关数据可取自</w:t>
      </w:r>
      <w:r>
        <w:rPr>
          <w:rFonts w:hint="default" w:ascii="仿宋_GB2312" w:hAnsi="ˎ̥" w:eastAsia="仿宋_GB2312"/>
          <w:sz w:val="32"/>
          <w:szCs w:val="32"/>
          <w:lang w:val="en-US"/>
        </w:rPr>
        <w:t>2023</w:t>
      </w:r>
      <w:r>
        <w:rPr>
          <w:rFonts w:hint="eastAsia" w:ascii="仿宋_GB2312" w:hAnsi="ˎ̥" w:eastAsia="仿宋_GB2312"/>
          <w:sz w:val="32"/>
          <w:szCs w:val="32"/>
        </w:rPr>
        <w:t>年度部门决算报表财决01-1表《财政拨款收入支出决算总表》</w:t>
      </w:r>
      <w:r>
        <w:rPr>
          <w:rFonts w:hint="eastAsia" w:ascii="仿宋_GB2312" w:hAnsi="ˎ̥" w:eastAsia="仿宋_GB2312"/>
          <w:sz w:val="32"/>
          <w:szCs w:val="32"/>
          <w:lang w:eastAsia="zh-CN"/>
        </w:rPr>
        <w:t>。</w:t>
      </w:r>
      <w:r>
        <w:rPr>
          <w:rFonts w:hint="eastAsia" w:ascii="仿宋_GB2312" w:hAnsi="ˎ̥" w:eastAsia="仿宋_GB2312"/>
          <w:sz w:val="32"/>
          <w:szCs w:val="32"/>
        </w:rPr>
        <w:t>）</w:t>
      </w:r>
    </w:p>
    <w:p w14:paraId="7BE8C2ED">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五、一般公共预算财政拨款支出决算情况说明</w:t>
      </w:r>
    </w:p>
    <w:p w14:paraId="5561639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77" w:name="_Toc13694_WPSOffice_Level2"/>
      <w:bookmarkStart w:id="78" w:name="_Toc17398_WPSOffice_Level2"/>
      <w:bookmarkStart w:id="79" w:name="_Toc21737_WPSOffice_Level2"/>
      <w:bookmarkStart w:id="80" w:name="_Toc23005_WPSOffice_Level2"/>
      <w:bookmarkStart w:id="81" w:name="_Toc9989_WPSOffice_Level2"/>
      <w:bookmarkStart w:id="82" w:name="_Toc19665_WPSOffice_Level2"/>
      <w:r>
        <w:rPr>
          <w:rFonts w:hint="eastAsia" w:ascii="楷体" w:hAnsi="楷体" w:eastAsia="楷体" w:cs="楷体"/>
          <w:sz w:val="32"/>
          <w:szCs w:val="32"/>
        </w:rPr>
        <w:t>（一）一般公共预算财政拨款支出决算总体情况</w:t>
      </w:r>
      <w:bookmarkEnd w:id="77"/>
      <w:bookmarkEnd w:id="78"/>
      <w:bookmarkEnd w:id="79"/>
      <w:bookmarkEnd w:id="80"/>
      <w:bookmarkEnd w:id="81"/>
      <w:bookmarkEnd w:id="82"/>
    </w:p>
    <w:p w14:paraId="0B0CF27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w:t>
      </w:r>
      <w:r>
        <w:rPr>
          <w:rFonts w:hint="default" w:ascii="仿宋_GB2312" w:hAnsi="ˎ̥" w:eastAsia="仿宋_GB2312"/>
          <w:color w:val="FF0000"/>
          <w:sz w:val="32"/>
          <w:szCs w:val="32"/>
          <w:lang w:val="en-US"/>
        </w:rPr>
        <w:t>4,302.40</w:t>
      </w:r>
      <w:r>
        <w:rPr>
          <w:rFonts w:hint="eastAsia" w:ascii="仿宋_GB2312" w:hAnsi="ˎ̥" w:eastAsia="仿宋_GB2312"/>
          <w:sz w:val="32"/>
          <w:szCs w:val="32"/>
        </w:rPr>
        <w:t>万元，占本年支出合计的</w:t>
      </w:r>
      <w:r>
        <w:rPr>
          <w:rFonts w:hint="eastAsia" w:ascii="仿宋_GB2312" w:hAnsi="ˎ̥" w:eastAsia="仿宋_GB2312"/>
          <w:color w:val="FF0000"/>
          <w:sz w:val="32"/>
          <w:szCs w:val="32"/>
          <w:lang w:val="en-US" w:eastAsia="zh-CN"/>
        </w:rPr>
        <w:t>97.3</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年度相比，一般公共预算财政拨款支出增加</w:t>
      </w:r>
      <w:r>
        <w:rPr>
          <w:rFonts w:hint="eastAsia" w:ascii="仿宋_GB2312" w:hAnsi="ˎ̥" w:eastAsia="仿宋_GB2312"/>
          <w:sz w:val="32"/>
          <w:szCs w:val="32"/>
          <w:lang w:val="en-US" w:eastAsia="zh-CN"/>
        </w:rPr>
        <w:t>1.9</w:t>
      </w:r>
      <w:r>
        <w:rPr>
          <w:rFonts w:hint="eastAsia" w:ascii="仿宋_GB2312" w:hAnsi="ˎ̥" w:eastAsia="仿宋_GB2312"/>
          <w:sz w:val="32"/>
          <w:szCs w:val="32"/>
        </w:rPr>
        <w:t>万元，增长</w:t>
      </w:r>
      <w:r>
        <w:rPr>
          <w:rFonts w:hint="eastAsia" w:ascii="仿宋_GB2312" w:hAnsi="ˎ̥" w:eastAsia="仿宋_GB2312"/>
          <w:sz w:val="32"/>
          <w:szCs w:val="32"/>
          <w:lang w:val="en-US" w:eastAsia="zh-CN"/>
        </w:rPr>
        <w:t>0.4</w:t>
      </w:r>
      <w:r>
        <w:rPr>
          <w:rFonts w:hint="eastAsia" w:ascii="仿宋_GB2312" w:hAnsi="ˎ̥" w:eastAsia="仿宋_GB2312"/>
          <w:sz w:val="32"/>
          <w:szCs w:val="32"/>
        </w:rPr>
        <w:t>%，主要原因是</w:t>
      </w:r>
      <w:r>
        <w:rPr>
          <w:rFonts w:hint="eastAsia" w:ascii="仿宋_GB2312" w:hAnsi="ˎ̥" w:eastAsia="仿宋_GB2312"/>
          <w:sz w:val="32"/>
          <w:szCs w:val="32"/>
          <w:lang w:eastAsia="zh-CN"/>
        </w:rPr>
        <w:t>项目资金支出</w:t>
      </w:r>
      <w:r>
        <w:rPr>
          <w:rFonts w:hint="eastAsia" w:ascii="仿宋_GB2312" w:hAnsi="ˎ̥" w:eastAsia="仿宋_GB2312"/>
          <w:sz w:val="32"/>
          <w:szCs w:val="32"/>
        </w:rPr>
        <w:t>。</w:t>
      </w:r>
    </w:p>
    <w:p w14:paraId="02CF4A3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83" w:name="_Toc19535_WPSOffice_Level2"/>
      <w:bookmarkStart w:id="84" w:name="_Toc19075_WPSOffice_Level2"/>
      <w:bookmarkStart w:id="85" w:name="_Toc23864_WPSOffice_Level2"/>
      <w:bookmarkStart w:id="86" w:name="_Toc27767_WPSOffice_Level2"/>
      <w:bookmarkStart w:id="87" w:name="_Toc2711_WPSOffice_Level2"/>
      <w:bookmarkStart w:id="88" w:name="_Toc18793_WPSOffice_Level2"/>
      <w:r>
        <w:rPr>
          <w:rFonts w:hint="eastAsia" w:ascii="楷体" w:hAnsi="楷体" w:eastAsia="楷体" w:cs="楷体"/>
          <w:sz w:val="32"/>
          <w:szCs w:val="32"/>
        </w:rPr>
        <w:t>（二）一般公共预算财政拨款支出决算结构情况</w:t>
      </w:r>
      <w:bookmarkEnd w:id="83"/>
      <w:bookmarkEnd w:id="84"/>
      <w:bookmarkEnd w:id="85"/>
      <w:bookmarkEnd w:id="86"/>
      <w:bookmarkEnd w:id="87"/>
      <w:bookmarkEnd w:id="88"/>
    </w:p>
    <w:p w14:paraId="1BE4645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w:t>
      </w:r>
      <w:r>
        <w:rPr>
          <w:rFonts w:hint="default" w:ascii="仿宋_GB2312" w:hAnsi="ˎ̥" w:eastAsia="仿宋_GB2312"/>
          <w:color w:val="FF0000"/>
          <w:sz w:val="32"/>
          <w:szCs w:val="32"/>
          <w:lang w:val="en-US"/>
        </w:rPr>
        <w:t>4,302.40</w:t>
      </w:r>
      <w:r>
        <w:rPr>
          <w:rFonts w:hint="eastAsia" w:ascii="仿宋_GB2312" w:hAnsi="ˎ̥" w:eastAsia="仿宋_GB2312"/>
          <w:sz w:val="32"/>
          <w:szCs w:val="32"/>
        </w:rPr>
        <w:t>万元，主要用于以下方面：</w:t>
      </w:r>
      <w:r>
        <w:rPr>
          <w:rFonts w:hint="eastAsia" w:ascii="仿宋_GB2312" w:hAnsi="ˎ̥" w:eastAsia="仿宋_GB2312"/>
          <w:b/>
          <w:sz w:val="32"/>
          <w:szCs w:val="32"/>
        </w:rPr>
        <w:t>一般公共服务（类）</w:t>
      </w:r>
      <w:r>
        <w:rPr>
          <w:rFonts w:hint="eastAsia" w:ascii="仿宋_GB2312" w:hAnsi="ˎ̥" w:eastAsia="仿宋_GB2312"/>
          <w:sz w:val="32"/>
          <w:szCs w:val="32"/>
        </w:rPr>
        <w:t>支出</w:t>
      </w:r>
      <w:r>
        <w:rPr>
          <w:rFonts w:hint="eastAsia" w:ascii="仿宋_GB2312" w:hAnsi="ˎ̥" w:eastAsia="仿宋_GB2312"/>
          <w:color w:val="FF0000"/>
          <w:sz w:val="32"/>
          <w:szCs w:val="32"/>
          <w:lang w:val="en-US" w:eastAsia="zh-CN"/>
        </w:rPr>
        <w:t>3373.88</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78.4</w:t>
      </w:r>
      <w:r>
        <w:rPr>
          <w:rFonts w:hint="eastAsia" w:ascii="仿宋_GB2312" w:hAnsi="ˎ̥" w:eastAsia="仿宋_GB2312"/>
          <w:sz w:val="32"/>
          <w:szCs w:val="32"/>
        </w:rPr>
        <w:t>%；……</w:t>
      </w:r>
      <w:r>
        <w:rPr>
          <w:rFonts w:hint="eastAsia" w:ascii="仿宋_GB2312" w:hAnsi="ˎ̥" w:eastAsia="仿宋_GB2312"/>
          <w:b/>
          <w:sz w:val="32"/>
          <w:szCs w:val="32"/>
        </w:rPr>
        <w:t>社会保障和就业（类）</w:t>
      </w:r>
      <w:r>
        <w:rPr>
          <w:rFonts w:hint="eastAsia" w:ascii="仿宋_GB2312" w:hAnsi="ˎ̥" w:eastAsia="仿宋_GB2312"/>
          <w:sz w:val="32"/>
          <w:szCs w:val="32"/>
        </w:rPr>
        <w:t>支出</w:t>
      </w:r>
      <w:r>
        <w:rPr>
          <w:rFonts w:hint="eastAsia" w:ascii="仿宋_GB2312" w:hAnsi="ˎ̥" w:eastAsia="仿宋_GB2312"/>
          <w:color w:val="FF0000"/>
          <w:sz w:val="32"/>
          <w:szCs w:val="32"/>
          <w:lang w:val="en-US" w:eastAsia="zh-CN"/>
        </w:rPr>
        <w:t>663.73</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15.4</w:t>
      </w:r>
      <w:r>
        <w:rPr>
          <w:rFonts w:hint="eastAsia" w:ascii="仿宋_GB2312" w:hAnsi="ˎ̥" w:eastAsia="仿宋_GB2312"/>
          <w:sz w:val="32"/>
          <w:szCs w:val="32"/>
        </w:rPr>
        <w:t>%；</w:t>
      </w:r>
      <w:r>
        <w:rPr>
          <w:rFonts w:hint="eastAsia" w:ascii="仿宋_GB2312" w:hAnsi="ˎ̥" w:eastAsia="仿宋_GB2312"/>
          <w:b/>
          <w:bCs/>
          <w:sz w:val="32"/>
          <w:szCs w:val="32"/>
        </w:rPr>
        <w:t>住房保障（类）</w:t>
      </w:r>
      <w:r>
        <w:rPr>
          <w:rFonts w:hint="eastAsia" w:ascii="仿宋_GB2312" w:hAnsi="ˎ̥" w:eastAsia="仿宋_GB2312"/>
          <w:sz w:val="32"/>
          <w:szCs w:val="32"/>
        </w:rPr>
        <w:t>支出</w:t>
      </w:r>
      <w:r>
        <w:rPr>
          <w:rFonts w:hint="eastAsia" w:ascii="仿宋_GB2312" w:hAnsi="ˎ̥" w:eastAsia="仿宋_GB2312"/>
          <w:color w:val="FF0000"/>
          <w:sz w:val="32"/>
          <w:szCs w:val="32"/>
          <w:lang w:val="en-US" w:eastAsia="zh-CN"/>
        </w:rPr>
        <w:t>264.79</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6.2</w:t>
      </w:r>
      <w:r>
        <w:rPr>
          <w:rFonts w:hint="eastAsia" w:ascii="仿宋_GB2312" w:hAnsi="ˎ̥" w:eastAsia="仿宋_GB2312"/>
          <w:sz w:val="32"/>
          <w:szCs w:val="32"/>
        </w:rPr>
        <w:t>%；……。</w:t>
      </w:r>
    </w:p>
    <w:p w14:paraId="210E169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单位实际支出涉及的支出功能分类类级科目填列</w:t>
      </w:r>
      <w:r>
        <w:rPr>
          <w:rFonts w:hint="eastAsia" w:ascii="仿宋_GB2312" w:hAnsi="ˎ̥" w:eastAsia="仿宋_GB2312"/>
          <w:sz w:val="32"/>
          <w:szCs w:val="32"/>
          <w:lang w:eastAsia="zh-CN"/>
        </w:rPr>
        <w:t>。</w:t>
      </w:r>
      <w:r>
        <w:rPr>
          <w:rFonts w:hint="eastAsia" w:ascii="仿宋_GB2312" w:hAnsi="ˎ̥" w:eastAsia="仿宋_GB2312"/>
          <w:sz w:val="32"/>
          <w:szCs w:val="32"/>
        </w:rPr>
        <w:t>）</w:t>
      </w:r>
    </w:p>
    <w:p w14:paraId="51B5561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89" w:name="_Toc29364_WPSOffice_Level2"/>
      <w:bookmarkStart w:id="90" w:name="_Toc9502_WPSOffice_Level2"/>
      <w:bookmarkStart w:id="91" w:name="_Toc15415_WPSOffice_Level2"/>
      <w:bookmarkStart w:id="92" w:name="_Toc25136_WPSOffice_Level2"/>
      <w:bookmarkStart w:id="93" w:name="_Toc21701_WPSOffice_Level2"/>
      <w:bookmarkStart w:id="94" w:name="_Toc22318_WPSOffice_Level2"/>
      <w:r>
        <w:rPr>
          <w:rFonts w:hint="eastAsia" w:ascii="楷体" w:hAnsi="楷体" w:eastAsia="楷体" w:cs="楷体"/>
          <w:sz w:val="32"/>
          <w:szCs w:val="32"/>
        </w:rPr>
        <w:t>（三）一般公共预算财政拨款支出决算具体情况</w:t>
      </w:r>
      <w:bookmarkEnd w:id="89"/>
      <w:bookmarkEnd w:id="90"/>
      <w:bookmarkEnd w:id="91"/>
      <w:bookmarkEnd w:id="92"/>
      <w:bookmarkEnd w:id="93"/>
      <w:bookmarkEnd w:id="94"/>
    </w:p>
    <w:p w14:paraId="04217A6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年度一般公共预算财政拨款支出年初预算为</w:t>
      </w:r>
      <w:r>
        <w:rPr>
          <w:rFonts w:hint="eastAsia" w:ascii="仿宋_GB2312" w:hAnsi="ˎ̥" w:eastAsia="仿宋_GB2312"/>
          <w:color w:val="FF0000"/>
          <w:sz w:val="32"/>
          <w:szCs w:val="32"/>
          <w:lang w:val="en-US" w:eastAsia="zh-CN"/>
        </w:rPr>
        <w:t>4123.2</w:t>
      </w:r>
      <w:r>
        <w:rPr>
          <w:rFonts w:hint="eastAsia" w:ascii="仿宋_GB2312" w:hAnsi="ˎ̥" w:eastAsia="仿宋_GB2312"/>
          <w:sz w:val="32"/>
          <w:szCs w:val="32"/>
        </w:rPr>
        <w:t>万元，支出决算为</w:t>
      </w:r>
      <w:r>
        <w:rPr>
          <w:rFonts w:hint="default" w:ascii="仿宋_GB2312" w:hAnsi="ˎ̥" w:eastAsia="仿宋_GB2312"/>
          <w:color w:val="FF0000"/>
          <w:sz w:val="32"/>
          <w:szCs w:val="32"/>
          <w:lang w:val="en-US"/>
        </w:rPr>
        <w:t>4,302.40</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%。其中：</w:t>
      </w:r>
    </w:p>
    <w:p w14:paraId="417CBBF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sz w:val="32"/>
          <w:szCs w:val="32"/>
        </w:rPr>
      </w:pPr>
      <w:r>
        <w:rPr>
          <w:rFonts w:hint="eastAsia" w:ascii="仿宋_GB2312" w:hAnsi="ˎ̥" w:eastAsia="仿宋_GB2312"/>
          <w:sz w:val="32"/>
          <w:szCs w:val="32"/>
        </w:rPr>
        <w:t>1.</w:t>
      </w:r>
      <w:r>
        <w:rPr>
          <w:rFonts w:hint="eastAsia" w:ascii="仿宋_GB2312" w:hAnsi="ˎ̥" w:eastAsia="仿宋_GB2312"/>
          <w:b/>
          <w:sz w:val="32"/>
          <w:szCs w:val="32"/>
        </w:rPr>
        <w:t>一般公共服务（类）人大事务（款）行政运行（项）。</w:t>
      </w:r>
    </w:p>
    <w:p w14:paraId="64687570">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color w:val="FF0000"/>
          <w:sz w:val="32"/>
          <w:szCs w:val="32"/>
          <w:lang w:val="en-US" w:eastAsia="zh-CN"/>
        </w:rPr>
        <w:t>3312.1</w:t>
      </w:r>
      <w:r>
        <w:rPr>
          <w:rFonts w:hint="eastAsia" w:ascii="仿宋_GB2312" w:hAnsi="ˎ̥" w:eastAsia="仿宋_GB2312"/>
          <w:sz w:val="32"/>
          <w:szCs w:val="32"/>
        </w:rPr>
        <w:t>万元，支出决算为</w:t>
      </w:r>
      <w:r>
        <w:rPr>
          <w:rFonts w:hint="eastAsia" w:ascii="仿宋_GB2312" w:hAnsi="ˎ̥" w:eastAsia="仿宋_GB2312"/>
          <w:color w:val="FF0000"/>
          <w:sz w:val="32"/>
          <w:szCs w:val="32"/>
          <w:lang w:val="en-US" w:eastAsia="zh-CN"/>
        </w:rPr>
        <w:t>3373.88</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%。决算数大于预算数的主要原因：</w:t>
      </w:r>
      <w:r>
        <w:rPr>
          <w:rFonts w:hint="eastAsia" w:ascii="仿宋_GB2312" w:hAnsi="ˎ̥" w:eastAsia="仿宋_GB2312"/>
          <w:sz w:val="32"/>
          <w:szCs w:val="32"/>
          <w:lang w:eastAsia="zh-CN"/>
        </w:rPr>
        <w:t>人员增加</w:t>
      </w:r>
      <w:r>
        <w:rPr>
          <w:rFonts w:hint="eastAsia" w:ascii="仿宋_GB2312" w:hAnsi="ˎ̥" w:eastAsia="仿宋_GB2312"/>
          <w:sz w:val="32"/>
          <w:szCs w:val="32"/>
        </w:rPr>
        <w:t>。</w:t>
      </w:r>
    </w:p>
    <w:p w14:paraId="3CA8F8D2">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本部分支出决算数可取自财决公开05表，年初预算数可取自各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单位年初预算大本，根据实际支出涉及的支出功能分类项级科目填列</w:t>
      </w:r>
      <w:r>
        <w:rPr>
          <w:rFonts w:hint="eastAsia" w:ascii="仿宋_GB2312" w:hAnsi="ˎ̥" w:eastAsia="仿宋_GB2312"/>
          <w:sz w:val="32"/>
          <w:szCs w:val="32"/>
          <w:lang w:eastAsia="zh-CN"/>
        </w:rPr>
        <w:t>。</w:t>
      </w:r>
      <w:r>
        <w:rPr>
          <w:rFonts w:hint="eastAsia" w:ascii="仿宋_GB2312" w:hAnsi="ˎ̥" w:eastAsia="仿宋_GB2312"/>
          <w:sz w:val="32"/>
          <w:szCs w:val="32"/>
        </w:rPr>
        <w:t>）</w:t>
      </w:r>
    </w:p>
    <w:p w14:paraId="6EAB98CA">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sz w:val="32"/>
          <w:szCs w:val="32"/>
        </w:rPr>
      </w:pPr>
      <w:r>
        <w:rPr>
          <w:rFonts w:hint="eastAsia" w:ascii="黑体" w:hAnsi="黑体" w:eastAsia="黑体" w:cs="黑体"/>
          <w:bCs/>
          <w:sz w:val="32"/>
          <w:szCs w:val="32"/>
        </w:rPr>
        <w:t>六、一般公共预算财政拨款基本支出决算情况说明</w:t>
      </w:r>
    </w:p>
    <w:p w14:paraId="588683DF">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年度财政拨款基本支出</w:t>
      </w:r>
      <w:r>
        <w:rPr>
          <w:rFonts w:hint="eastAsia" w:ascii="仿宋_GB2312" w:hAnsi="ˎ̥" w:eastAsia="仿宋_GB2312"/>
          <w:color w:val="FF0000"/>
          <w:sz w:val="32"/>
          <w:szCs w:val="32"/>
          <w:lang w:val="en-US"/>
        </w:rPr>
        <w:t>3,738.26</w:t>
      </w:r>
      <w:r>
        <w:rPr>
          <w:rFonts w:hint="eastAsia" w:ascii="仿宋_GB2312" w:hAnsi="ˎ̥" w:eastAsia="仿宋_GB2312"/>
          <w:sz w:val="32"/>
          <w:szCs w:val="32"/>
        </w:rPr>
        <w:t>万元，其中：人员经费</w:t>
      </w:r>
      <w:r>
        <w:rPr>
          <w:rFonts w:ascii="仿宋_GB2312" w:hAnsi="ˎ̥" w:eastAsia="仿宋_GB2312"/>
          <w:color w:val="FF0000"/>
          <w:sz w:val="32"/>
          <w:szCs w:val="32"/>
          <w:lang w:val="en-US"/>
        </w:rPr>
        <w:t>3,456.80</w:t>
      </w:r>
      <w:r>
        <w:rPr>
          <w:rFonts w:hint="eastAsia" w:ascii="仿宋_GB2312" w:hAnsi="ˎ̥" w:eastAsia="仿宋_GB2312"/>
          <w:sz w:val="32"/>
          <w:szCs w:val="32"/>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退职（役）费、抚恤金、生活补助、救济费、医疗费补助、助学金、奖励金、个人农业生产补贴、代缴社会保险费、其他对个人和家庭的补助。公用经费</w:t>
      </w:r>
      <w:r>
        <w:rPr>
          <w:rFonts w:ascii="仿宋_GB2312" w:hAnsi="ˎ̥" w:eastAsia="仿宋_GB2312"/>
          <w:color w:val="FF0000"/>
          <w:sz w:val="32"/>
          <w:szCs w:val="32"/>
          <w:lang w:val="en-US"/>
        </w:rPr>
        <w:t>281.47</w:t>
      </w:r>
      <w:r>
        <w:rPr>
          <w:rFonts w:hint="eastAsia" w:ascii="仿宋_GB2312" w:hAnsi="ˎ̥" w:eastAsia="仿宋_GB2312"/>
          <w:sz w:val="32"/>
          <w:szCs w:val="32"/>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w:t>
      </w:r>
      <w:r>
        <w:rPr>
          <w:rFonts w:hint="eastAsia" w:ascii="仿宋_GB2312" w:hAnsi="ˎ̥" w:eastAsia="仿宋_GB2312"/>
          <w:sz w:val="32"/>
          <w:szCs w:val="32"/>
          <w:lang w:val="en-US" w:eastAsia="zh-CN"/>
        </w:rPr>
        <w:t>购</w:t>
      </w:r>
      <w:r>
        <w:rPr>
          <w:rFonts w:hint="eastAsia" w:ascii="仿宋_GB2312" w:hAnsi="ˎ̥" w:eastAsia="仿宋_GB2312"/>
          <w:sz w:val="32"/>
          <w:szCs w:val="32"/>
        </w:rPr>
        <w:t>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赠予、国家赔偿费用支出、对民间非营利组织和群众性自治组织补贴和其他支出。</w:t>
      </w:r>
    </w:p>
    <w:p w14:paraId="6C24DF02">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w:t>
      </w:r>
      <w:r>
        <w:rPr>
          <w:rFonts w:hint="eastAsia" w:ascii="仿宋_GB2312" w:hAnsi="ˎ̥" w:eastAsia="仿宋_GB2312"/>
          <w:sz w:val="32"/>
          <w:szCs w:val="32"/>
          <w:lang w:val="en-US" w:eastAsia="zh-CN"/>
        </w:rPr>
        <w:t>数据</w:t>
      </w:r>
      <w:r>
        <w:rPr>
          <w:rFonts w:hint="eastAsia" w:ascii="仿宋_GB2312" w:hAnsi="ˎ̥" w:eastAsia="仿宋_GB2312"/>
          <w:sz w:val="32"/>
          <w:szCs w:val="32"/>
        </w:rPr>
        <w:t>可取自财决公开06表，各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单位根据实际支出情况，选列相应支出经济分类。）</w:t>
      </w:r>
    </w:p>
    <w:p w14:paraId="7241B08A">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七、政府性基金预算财政拨款支出决算情况说明</w:t>
      </w:r>
    </w:p>
    <w:p w14:paraId="643B855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（一）政府性基金预算财政拨款支出决算总体情况</w:t>
      </w:r>
    </w:p>
    <w:p w14:paraId="0E502A0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年度政府性基金预算财政拨款支出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p>
    <w:p w14:paraId="06BD91A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（二）政府性基金预算财政拨款支出决算结构情况</w:t>
      </w:r>
    </w:p>
    <w:p w14:paraId="7B5BDB8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年度政府性基金预算财政拨款支出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p>
    <w:p w14:paraId="5BAB19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单位实际支出涉及的支出功能分类类级科目填列</w:t>
      </w:r>
      <w:r>
        <w:rPr>
          <w:rFonts w:hint="eastAsia" w:ascii="仿宋_GB2312" w:hAnsi="ˎ̥" w:eastAsia="仿宋_GB2312"/>
          <w:sz w:val="32"/>
          <w:szCs w:val="32"/>
          <w:lang w:eastAsia="zh-CN"/>
        </w:rPr>
        <w:t>。</w:t>
      </w:r>
      <w:r>
        <w:rPr>
          <w:rFonts w:hint="eastAsia" w:ascii="仿宋_GB2312" w:hAnsi="ˎ̥" w:eastAsia="仿宋_GB2312"/>
          <w:sz w:val="32"/>
          <w:szCs w:val="32"/>
        </w:rPr>
        <w:t>）</w:t>
      </w:r>
    </w:p>
    <w:p w14:paraId="2AA5798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（三）政府性基金预算财政拨款支出决算具体情况</w:t>
      </w:r>
    </w:p>
    <w:p w14:paraId="71CEE77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eastAsia="zh-CN"/>
        </w:rPr>
      </w:pPr>
      <w:r>
        <w:rPr>
          <w:rFonts w:hint="default" w:ascii="仿宋_GB2312" w:hAnsi="ˎ̥" w:eastAsia="仿宋_GB2312"/>
          <w:sz w:val="32"/>
          <w:szCs w:val="32"/>
          <w:lang w:val="en-US"/>
        </w:rPr>
        <w:t>2024</w:t>
      </w:r>
      <w:r>
        <w:rPr>
          <w:rFonts w:hint="eastAsia" w:ascii="仿宋_GB2312" w:hAnsi="ˎ̥" w:eastAsia="仿宋_GB2312"/>
          <w:sz w:val="32"/>
          <w:szCs w:val="32"/>
        </w:rPr>
        <w:t>年度政府性基金预算财政拨款支出年初预算为</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万元，支出决算为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r>
        <w:rPr>
          <w:rFonts w:hint="eastAsia" w:ascii="仿宋_GB2312" w:hAnsi="ˎ̥" w:eastAsia="仿宋_GB2312"/>
          <w:sz w:val="32"/>
          <w:szCs w:val="32"/>
          <w:lang w:eastAsia="zh-CN"/>
        </w:rPr>
        <w:t>。</w:t>
      </w:r>
    </w:p>
    <w:p w14:paraId="5E2A6D6E">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单位实际支出涉及的支出功能分类项级科目填列，本部分</w:t>
      </w:r>
      <w:r>
        <w:rPr>
          <w:rFonts w:hint="default" w:ascii="仿宋_GB2312" w:hAnsi="ˎ̥" w:eastAsia="仿宋_GB2312"/>
          <w:sz w:val="32"/>
          <w:szCs w:val="32"/>
          <w:lang w:val="en-US"/>
        </w:rPr>
        <w:t>2024</w:t>
      </w:r>
      <w:r>
        <w:rPr>
          <w:rFonts w:hint="eastAsia" w:ascii="仿宋_GB2312" w:hAnsi="ˎ̥" w:eastAsia="仿宋_GB2312"/>
          <w:sz w:val="32"/>
          <w:szCs w:val="32"/>
        </w:rPr>
        <w:t>年</w:t>
      </w:r>
      <w:r>
        <w:rPr>
          <w:rFonts w:hint="eastAsia" w:ascii="仿宋_GB2312" w:hAnsi="ˎ̥" w:eastAsia="仿宋_GB2312"/>
          <w:sz w:val="32"/>
          <w:szCs w:val="32"/>
          <w:lang w:val="en-US" w:eastAsia="zh-CN"/>
        </w:rPr>
        <w:t>度</w:t>
      </w:r>
      <w:r>
        <w:rPr>
          <w:rFonts w:hint="eastAsia" w:ascii="仿宋_GB2312" w:hAnsi="ˎ̥" w:eastAsia="仿宋_GB2312"/>
          <w:sz w:val="32"/>
          <w:szCs w:val="32"/>
        </w:rPr>
        <w:t>决算相关数据取自财决公开07表；</w:t>
      </w:r>
      <w:r>
        <w:rPr>
          <w:rFonts w:hint="default" w:ascii="仿宋_GB2312" w:hAnsi="ˎ̥" w:eastAsia="仿宋_GB2312"/>
          <w:sz w:val="32"/>
          <w:szCs w:val="32"/>
          <w:lang w:val="en-US"/>
        </w:rPr>
        <w:t>2023</w:t>
      </w:r>
      <w:r>
        <w:rPr>
          <w:rFonts w:hint="eastAsia" w:ascii="仿宋_GB2312" w:hAnsi="ˎ̥" w:eastAsia="仿宋_GB2312"/>
          <w:sz w:val="32"/>
          <w:szCs w:val="32"/>
        </w:rPr>
        <w:t>年</w:t>
      </w:r>
      <w:r>
        <w:rPr>
          <w:rFonts w:hint="eastAsia" w:ascii="仿宋_GB2312" w:hAnsi="ˎ̥" w:eastAsia="仿宋_GB2312"/>
          <w:sz w:val="32"/>
          <w:szCs w:val="32"/>
          <w:lang w:val="en-US" w:eastAsia="zh-CN"/>
        </w:rPr>
        <w:t>度</w:t>
      </w:r>
      <w:r>
        <w:rPr>
          <w:rFonts w:hint="eastAsia" w:ascii="仿宋_GB2312" w:hAnsi="ˎ̥" w:eastAsia="仿宋_GB2312"/>
          <w:sz w:val="32"/>
          <w:szCs w:val="32"/>
        </w:rPr>
        <w:t>决算相关数据取自</w:t>
      </w:r>
      <w:r>
        <w:rPr>
          <w:rFonts w:hint="default" w:ascii="仿宋_GB2312" w:hAnsi="ˎ̥" w:eastAsia="仿宋_GB2312"/>
          <w:sz w:val="32"/>
          <w:szCs w:val="32"/>
          <w:lang w:val="en-US"/>
        </w:rPr>
        <w:t>2023</w:t>
      </w:r>
      <w:r>
        <w:rPr>
          <w:rFonts w:hint="eastAsia" w:ascii="仿宋_GB2312" w:hAnsi="ˎ̥" w:eastAsia="仿宋_GB2312"/>
          <w:sz w:val="32"/>
          <w:szCs w:val="32"/>
          <w:lang w:val="en-US" w:eastAsia="zh-CN"/>
        </w:rPr>
        <w:t>年度部门决算报表</w:t>
      </w:r>
      <w:r>
        <w:rPr>
          <w:rFonts w:hint="eastAsia" w:ascii="仿宋_GB2312" w:hAnsi="ˎ̥" w:eastAsia="仿宋_GB2312"/>
          <w:sz w:val="32"/>
          <w:szCs w:val="32"/>
        </w:rPr>
        <w:t>财决09表《政府性基金预算财政拨款收入支出决算表》</w:t>
      </w:r>
      <w:r>
        <w:rPr>
          <w:rFonts w:hint="eastAsia" w:ascii="仿宋_GB2312" w:hAnsi="ˎ̥" w:eastAsia="仿宋_GB2312"/>
          <w:sz w:val="32"/>
          <w:szCs w:val="32"/>
          <w:lang w:eastAsia="zh-CN"/>
        </w:rPr>
        <w:t>。</w:t>
      </w:r>
      <w:r>
        <w:rPr>
          <w:rFonts w:hint="eastAsia" w:ascii="仿宋_GB2312" w:hAnsi="ˎ̥" w:eastAsia="仿宋_GB2312"/>
          <w:sz w:val="32"/>
          <w:szCs w:val="32"/>
        </w:rPr>
        <w:t>）</w:t>
      </w:r>
    </w:p>
    <w:p w14:paraId="101E92BC">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八、国有资本经营预算财政拨款支出决算情况说明</w:t>
      </w:r>
    </w:p>
    <w:p w14:paraId="1600908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（一）国有资本经营预算财政拨款支出决算总体情况</w:t>
      </w:r>
    </w:p>
    <w:p w14:paraId="5E6A223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年度国有资本经营预算财政拨款支出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p>
    <w:p w14:paraId="7F0C568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（二）国有资本经营预算财政拨款支出决算结构情况</w:t>
      </w:r>
    </w:p>
    <w:p w14:paraId="2CDBB1C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年度国有资本经营预算财政拨款支出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p>
    <w:p w14:paraId="52F8672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单位实际支出涉及的支出功能分类类级科目填列</w:t>
      </w:r>
      <w:r>
        <w:rPr>
          <w:rFonts w:hint="eastAsia" w:ascii="仿宋_GB2312" w:hAnsi="ˎ̥" w:eastAsia="仿宋_GB2312"/>
          <w:sz w:val="32"/>
          <w:szCs w:val="32"/>
          <w:lang w:eastAsia="zh-CN"/>
        </w:rPr>
        <w:t>。</w:t>
      </w:r>
      <w:r>
        <w:rPr>
          <w:rFonts w:hint="eastAsia" w:ascii="仿宋_GB2312" w:hAnsi="ˎ̥" w:eastAsia="仿宋_GB2312"/>
          <w:sz w:val="32"/>
          <w:szCs w:val="32"/>
        </w:rPr>
        <w:t>）</w:t>
      </w:r>
    </w:p>
    <w:p w14:paraId="6DA2D67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（三）国有资本经营预算财政拨款支出决算具体情况</w:t>
      </w:r>
    </w:p>
    <w:p w14:paraId="4FEB03E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eastAsia="zh-CN"/>
        </w:rPr>
      </w:pPr>
      <w:r>
        <w:rPr>
          <w:rFonts w:hint="default" w:ascii="仿宋_GB2312" w:hAnsi="ˎ̥" w:eastAsia="仿宋_GB2312"/>
          <w:sz w:val="32"/>
          <w:szCs w:val="32"/>
          <w:lang w:val="en-US"/>
        </w:rPr>
        <w:t>2024</w:t>
      </w:r>
      <w:r>
        <w:rPr>
          <w:rFonts w:hint="eastAsia" w:ascii="仿宋_GB2312" w:hAnsi="ˎ̥" w:eastAsia="仿宋_GB2312"/>
          <w:sz w:val="32"/>
          <w:szCs w:val="32"/>
        </w:rPr>
        <w:t>年度国有资本经营预算财政拨款支出年初预算为</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万元，支出决算为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r>
        <w:rPr>
          <w:rFonts w:hint="eastAsia" w:ascii="仿宋_GB2312" w:hAnsi="ˎ̥" w:eastAsia="仿宋_GB2312"/>
          <w:sz w:val="32"/>
          <w:szCs w:val="32"/>
          <w:lang w:eastAsia="zh-CN"/>
        </w:rPr>
        <w:t>。</w:t>
      </w:r>
    </w:p>
    <w:p w14:paraId="1B28ACB1">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单位实际支出涉及的支出功能分类项级科目填列，本部分</w:t>
      </w:r>
      <w:r>
        <w:rPr>
          <w:rFonts w:hint="default" w:ascii="仿宋_GB2312" w:hAnsi="ˎ̥" w:eastAsia="仿宋_GB2312"/>
          <w:sz w:val="32"/>
          <w:szCs w:val="32"/>
          <w:lang w:val="en-US"/>
        </w:rPr>
        <w:t>2024</w:t>
      </w:r>
      <w:r>
        <w:rPr>
          <w:rFonts w:hint="eastAsia" w:ascii="仿宋_GB2312" w:hAnsi="ˎ̥" w:eastAsia="仿宋_GB2312"/>
          <w:sz w:val="32"/>
          <w:szCs w:val="32"/>
        </w:rPr>
        <w:t>年</w:t>
      </w:r>
      <w:r>
        <w:rPr>
          <w:rFonts w:hint="eastAsia" w:ascii="仿宋_GB2312" w:hAnsi="ˎ̥" w:eastAsia="仿宋_GB2312"/>
          <w:sz w:val="32"/>
          <w:szCs w:val="32"/>
          <w:lang w:val="en-US" w:eastAsia="zh-CN"/>
        </w:rPr>
        <w:t>度</w:t>
      </w:r>
      <w:r>
        <w:rPr>
          <w:rFonts w:hint="eastAsia" w:ascii="仿宋_GB2312" w:hAnsi="ˎ̥" w:eastAsia="仿宋_GB2312"/>
          <w:sz w:val="32"/>
          <w:szCs w:val="32"/>
        </w:rPr>
        <w:t>决算相关数据取自财决公开08表</w:t>
      </w:r>
      <w:r>
        <w:rPr>
          <w:rFonts w:hint="eastAsia" w:ascii="仿宋_GB2312" w:hAnsi="ˎ̥" w:eastAsia="仿宋_GB2312"/>
          <w:sz w:val="32"/>
          <w:szCs w:val="32"/>
          <w:lang w:eastAsia="zh-CN"/>
        </w:rPr>
        <w:t>。</w:t>
      </w:r>
      <w:r>
        <w:rPr>
          <w:rFonts w:hint="eastAsia" w:ascii="仿宋_GB2312" w:hAnsi="ˎ̥" w:eastAsia="仿宋_GB2312"/>
          <w:sz w:val="32"/>
          <w:szCs w:val="32"/>
        </w:rPr>
        <w:t>）</w:t>
      </w:r>
    </w:p>
    <w:p w14:paraId="5834EC2B">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楷体_GB2312"/>
          <w:sz w:val="32"/>
          <w:szCs w:val="32"/>
        </w:rPr>
      </w:pPr>
      <w:r>
        <w:rPr>
          <w:rFonts w:hint="eastAsia" w:ascii="黑体" w:hAnsi="黑体" w:eastAsia="黑体" w:cs="黑体"/>
          <w:bCs/>
          <w:sz w:val="32"/>
          <w:szCs w:val="32"/>
        </w:rPr>
        <w:t>九、财政拨款“三公”经费支出决算情况说明</w:t>
      </w:r>
    </w:p>
    <w:p w14:paraId="18F9E7F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（一）财政拨款“三公”经费支出决算总体情况说明</w:t>
      </w:r>
    </w:p>
    <w:p w14:paraId="1367A270">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sz w:val="32"/>
          <w:szCs w:val="32"/>
        </w:rPr>
        <w:t xml:space="preserve">    </w:t>
      </w:r>
      <w:r>
        <w:rPr>
          <w:rFonts w:hint="default" w:ascii="仿宋_GB2312" w:hAnsi="ˎ̥" w:eastAsia="仿宋_GB2312"/>
          <w:sz w:val="32"/>
          <w:szCs w:val="32"/>
          <w:lang w:val="en-US"/>
        </w:rPr>
        <w:t>2024</w:t>
      </w:r>
      <w:r>
        <w:rPr>
          <w:rFonts w:hint="eastAsia" w:ascii="仿宋_GB2312" w:hAnsi="ˎ̥" w:eastAsia="仿宋_GB2312"/>
          <w:sz w:val="32"/>
          <w:szCs w:val="32"/>
        </w:rPr>
        <w:t>年度财政拨款“三公”经费支出预算为</w:t>
      </w:r>
      <w:r>
        <w:rPr>
          <w:rFonts w:hint="default" w:ascii="仿宋_GB2312" w:hAnsi="ˎ̥" w:eastAsia="仿宋_GB2312"/>
          <w:color w:val="FF0000"/>
          <w:sz w:val="32"/>
          <w:szCs w:val="32"/>
          <w:lang w:val="en-US"/>
        </w:rPr>
        <w:t>68.15</w:t>
      </w:r>
      <w:r>
        <w:rPr>
          <w:rFonts w:hint="eastAsia" w:ascii="仿宋_GB2312" w:hAnsi="ˎ̥" w:eastAsia="仿宋_GB2312"/>
          <w:sz w:val="32"/>
          <w:szCs w:val="32"/>
        </w:rPr>
        <w:t>万元，支出决算为</w:t>
      </w:r>
      <w:r>
        <w:rPr>
          <w:rFonts w:hint="default" w:ascii="仿宋_GB2312" w:hAnsi="ˎ̥" w:eastAsia="仿宋_GB2312"/>
          <w:color w:val="FF0000"/>
          <w:sz w:val="32"/>
          <w:szCs w:val="32"/>
          <w:lang w:val="en-US"/>
        </w:rPr>
        <w:t>68.15</w:t>
      </w:r>
      <w:r>
        <w:rPr>
          <w:rFonts w:hint="eastAsia" w:ascii="仿宋_GB2312" w:hAnsi="ˎ̥" w:eastAsia="仿宋_GB2312"/>
          <w:sz w:val="32"/>
          <w:szCs w:val="32"/>
        </w:rPr>
        <w:t>万元，完成预算的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w:t>
      </w:r>
      <w:r>
        <w:rPr>
          <w:rFonts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w:t>
      </w:r>
      <w:r>
        <w:rPr>
          <w:rFonts w:ascii="仿宋_GB2312" w:hAnsi="ˎ̥" w:eastAsia="仿宋_GB2312"/>
          <w:sz w:val="32"/>
          <w:szCs w:val="32"/>
        </w:rPr>
        <w:t>相比，</w:t>
      </w:r>
      <w:r>
        <w:rPr>
          <w:rFonts w:hint="eastAsia" w:ascii="仿宋_GB2312" w:hAnsi="ˎ̥" w:eastAsia="仿宋_GB2312"/>
          <w:sz w:val="32"/>
          <w:szCs w:val="32"/>
        </w:rPr>
        <w:t>“三公”经费支出增加</w:t>
      </w:r>
      <w:r>
        <w:rPr>
          <w:rFonts w:hint="eastAsia" w:ascii="仿宋_GB2312" w:hAnsi="ˎ̥" w:eastAsia="仿宋_GB2312"/>
          <w:sz w:val="32"/>
          <w:szCs w:val="32"/>
          <w:lang w:val="en-US" w:eastAsia="zh-CN"/>
        </w:rPr>
        <w:t>13.64</w:t>
      </w:r>
      <w:r>
        <w:rPr>
          <w:rFonts w:hint="eastAsia" w:ascii="仿宋_GB2312" w:hAnsi="ˎ̥" w:eastAsia="仿宋_GB2312"/>
          <w:sz w:val="32"/>
          <w:szCs w:val="32"/>
        </w:rPr>
        <w:t>万元</w:t>
      </w:r>
      <w:r>
        <w:rPr>
          <w:rFonts w:ascii="仿宋_GB2312" w:hAnsi="ˎ̥" w:eastAsia="仿宋_GB2312"/>
          <w:sz w:val="32"/>
          <w:szCs w:val="32"/>
        </w:rPr>
        <w:t>，增长</w:t>
      </w:r>
      <w:r>
        <w:rPr>
          <w:rFonts w:hint="eastAsia" w:ascii="仿宋_GB2312" w:hAnsi="ˎ̥" w:eastAsia="仿宋_GB2312"/>
          <w:sz w:val="32"/>
          <w:szCs w:val="32"/>
          <w:lang w:val="en-US" w:eastAsia="zh-CN"/>
        </w:rPr>
        <w:t>25</w:t>
      </w:r>
      <w:r>
        <w:rPr>
          <w:rFonts w:hint="eastAsia" w:ascii="仿宋_GB2312" w:hAnsi="ˎ̥" w:eastAsia="仿宋_GB2312"/>
          <w:sz w:val="32"/>
          <w:szCs w:val="32"/>
        </w:rPr>
        <w:t>%，</w:t>
      </w:r>
      <w:r>
        <w:rPr>
          <w:rFonts w:ascii="仿宋_GB2312" w:hAnsi="ˎ̥" w:eastAsia="仿宋_GB2312"/>
          <w:sz w:val="32"/>
          <w:szCs w:val="32"/>
        </w:rPr>
        <w:t>主要原因是</w:t>
      </w:r>
      <w:r>
        <w:rPr>
          <w:rFonts w:hint="eastAsia" w:ascii="仿宋_GB2312" w:hAnsi="ˎ̥" w:eastAsia="仿宋_GB2312"/>
          <w:sz w:val="32"/>
          <w:szCs w:val="32"/>
          <w:lang w:eastAsia="zh-CN"/>
        </w:rPr>
        <w:t>人员增加</w:t>
      </w:r>
      <w:r>
        <w:rPr>
          <w:rFonts w:hint="eastAsia" w:ascii="仿宋_GB2312" w:hAnsi="ˎ̥" w:eastAsia="仿宋_GB2312"/>
          <w:sz w:val="32"/>
          <w:szCs w:val="32"/>
        </w:rPr>
        <w:t>。</w:t>
      </w:r>
    </w:p>
    <w:p w14:paraId="0787B19B">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楷体" w:hAnsi="楷体" w:eastAsia="楷体" w:cs="楷体"/>
          <w:sz w:val="32"/>
          <w:szCs w:val="32"/>
        </w:rPr>
      </w:pPr>
      <w:r>
        <w:rPr>
          <w:rFonts w:hint="eastAsia" w:ascii="楷体" w:hAnsi="楷体" w:eastAsia="楷体" w:cs="楷体"/>
          <w:b/>
          <w:bCs/>
          <w:sz w:val="32"/>
          <w:szCs w:val="32"/>
        </w:rPr>
        <w:t xml:space="preserve">   </w:t>
      </w:r>
      <w:r>
        <w:rPr>
          <w:rFonts w:hint="eastAsia" w:ascii="楷体" w:hAnsi="楷体" w:eastAsia="楷体" w:cs="楷体"/>
          <w:sz w:val="32"/>
          <w:szCs w:val="32"/>
        </w:rPr>
        <w:t xml:space="preserve"> （二）财政拨款“三公”经费支出决算具体情况说明</w:t>
      </w:r>
    </w:p>
    <w:p w14:paraId="7B26A5C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年度财政拨款“三公”经费支出决算中，因公出国（境）费支出决算</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%；公务用车购置及运行维护费支出决算</w:t>
      </w:r>
      <w:r>
        <w:rPr>
          <w:rFonts w:hint="default" w:ascii="仿宋_GB2312" w:hAnsi="ˎ̥" w:eastAsia="仿宋_GB2312"/>
          <w:color w:val="FF0000"/>
          <w:sz w:val="32"/>
          <w:szCs w:val="32"/>
          <w:lang w:val="en-US"/>
        </w:rPr>
        <w:t>65.91</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96.7</w:t>
      </w:r>
      <w:r>
        <w:rPr>
          <w:rFonts w:hint="eastAsia" w:ascii="仿宋_GB2312" w:hAnsi="ˎ̥" w:eastAsia="仿宋_GB2312"/>
          <w:sz w:val="32"/>
          <w:szCs w:val="32"/>
        </w:rPr>
        <w:t>%；公务接待费支出决算</w:t>
      </w:r>
      <w:r>
        <w:rPr>
          <w:rFonts w:hint="default" w:ascii="仿宋_GB2312" w:hAnsi="ˎ̥" w:eastAsia="仿宋_GB2312"/>
          <w:color w:val="FF0000"/>
          <w:sz w:val="32"/>
          <w:szCs w:val="32"/>
          <w:lang w:val="en-US"/>
        </w:rPr>
        <w:t>2.24</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3.3</w:t>
      </w:r>
      <w:r>
        <w:rPr>
          <w:rFonts w:hint="eastAsia" w:ascii="仿宋_GB2312" w:hAnsi="ˎ̥" w:eastAsia="仿宋_GB2312"/>
          <w:sz w:val="32"/>
          <w:szCs w:val="32"/>
        </w:rPr>
        <w:t>%。具体情况如下：</w:t>
      </w:r>
    </w:p>
    <w:p w14:paraId="70283DA7">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1.因公出国（境）费</w:t>
      </w:r>
      <w:r>
        <w:rPr>
          <w:rFonts w:hint="eastAsia" w:ascii="仿宋_GB2312" w:hAnsi="ˎ̥" w:eastAsia="仿宋_GB2312"/>
          <w:sz w:val="32"/>
          <w:szCs w:val="32"/>
        </w:rPr>
        <w:t>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万元。全年安排因公出国（境）团组</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个，因公出国（境）</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人次。</w:t>
      </w:r>
    </w:p>
    <w:p w14:paraId="732BBD5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因公出国（境）费支出决算</w:t>
      </w:r>
      <w:r>
        <w:rPr>
          <w:rFonts w:hint="eastAsia" w:ascii="仿宋_GB2312" w:hAnsi="ˎ̥" w:eastAsia="仿宋_GB2312"/>
          <w:sz w:val="32"/>
          <w:szCs w:val="32"/>
          <w:lang w:val="en-US" w:eastAsia="zh-CN"/>
        </w:rPr>
        <w:t>数</w:t>
      </w:r>
      <w:r>
        <w:rPr>
          <w:rFonts w:hint="eastAsia" w:ascii="仿宋_GB2312" w:hAnsi="ˎ̥" w:eastAsia="仿宋_GB2312"/>
          <w:sz w:val="32"/>
          <w:szCs w:val="32"/>
        </w:rPr>
        <w:t>比预算数增加（减少）</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val="en-US" w:eastAsia="zh-CN"/>
        </w:rPr>
        <w:t>完成预算的</w:t>
      </w:r>
      <w:r>
        <w:rPr>
          <w:rFonts w:hint="eastAsia" w:ascii="仿宋_GB2312" w:hAnsi="ˎ̥" w:eastAsia="仿宋_GB2312"/>
          <w:color w:val="FF0000"/>
          <w:sz w:val="32"/>
          <w:szCs w:val="32"/>
          <w:lang w:val="en-US" w:eastAsia="zh-CN"/>
        </w:rPr>
        <w:t>0</w:t>
      </w:r>
      <w:r>
        <w:rPr>
          <w:rFonts w:hint="default" w:ascii="仿宋_GB2312" w:hAnsi="ˎ̥" w:eastAsia="仿宋_GB2312"/>
          <w:sz w:val="32"/>
          <w:szCs w:val="32"/>
          <w:lang w:val="en-US" w:eastAsia="zh-CN"/>
        </w:rPr>
        <w:t>%</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w:t>
      </w:r>
      <w:r>
        <w:rPr>
          <w:rFonts w:ascii="仿宋_GB2312" w:hAnsi="ˎ̥" w:eastAsia="仿宋_GB2312"/>
          <w:sz w:val="32"/>
          <w:szCs w:val="32"/>
        </w:rPr>
        <w:t>相比，</w:t>
      </w:r>
      <w:r>
        <w:rPr>
          <w:rFonts w:hint="eastAsia" w:ascii="仿宋_GB2312" w:hAnsi="ˎ̥" w:eastAsia="仿宋_GB2312"/>
          <w:sz w:val="32"/>
          <w:szCs w:val="32"/>
        </w:rPr>
        <w:t>因公出国（境）费支出增加</w:t>
      </w:r>
      <w:r>
        <w:rPr>
          <w:rFonts w:ascii="仿宋_GB2312" w:hAnsi="ˎ̥" w:eastAsia="仿宋_GB2312"/>
          <w:sz w:val="32"/>
          <w:szCs w:val="32"/>
        </w:rPr>
        <w:t>（</w:t>
      </w:r>
      <w:r>
        <w:rPr>
          <w:rFonts w:hint="eastAsia" w:ascii="仿宋_GB2312" w:hAnsi="ˎ̥" w:eastAsia="仿宋_GB2312"/>
          <w:sz w:val="32"/>
          <w:szCs w:val="32"/>
        </w:rPr>
        <w:t>减少</w:t>
      </w:r>
      <w:r>
        <w:rPr>
          <w:rFonts w:ascii="仿宋_GB2312" w:hAnsi="ˎ̥" w:eastAsia="仿宋_GB2312"/>
          <w:sz w:val="32"/>
          <w:szCs w:val="32"/>
        </w:rPr>
        <w:t>）</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w:t>
      </w:r>
      <w:r>
        <w:rPr>
          <w:rFonts w:ascii="仿宋_GB2312" w:hAnsi="ˎ̥" w:eastAsia="仿宋_GB2312"/>
          <w:sz w:val="32"/>
          <w:szCs w:val="32"/>
        </w:rPr>
        <w:t>，增长（</w:t>
      </w:r>
      <w:r>
        <w:rPr>
          <w:rFonts w:hint="eastAsia" w:ascii="仿宋_GB2312" w:hAnsi="ˎ̥" w:eastAsia="仿宋_GB2312"/>
          <w:sz w:val="32"/>
          <w:szCs w:val="32"/>
        </w:rPr>
        <w:t>下降</w:t>
      </w:r>
      <w:r>
        <w:rPr>
          <w:rFonts w:ascii="仿宋_GB2312" w:hAnsi="ˎ̥" w:eastAsia="仿宋_GB2312"/>
          <w:sz w:val="32"/>
          <w:szCs w:val="32"/>
        </w:rPr>
        <w:t>）</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w:t>
      </w:r>
    </w:p>
    <w:p w14:paraId="7772B67D">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b/>
          <w:sz w:val="32"/>
          <w:szCs w:val="32"/>
        </w:rPr>
        <w:t xml:space="preserve">    2.公务用车购置及运行维护费</w:t>
      </w:r>
      <w:r>
        <w:rPr>
          <w:rFonts w:hint="eastAsia" w:ascii="仿宋_GB2312" w:hAnsi="ˎ̥" w:eastAsia="仿宋_GB2312"/>
          <w:b w:val="0"/>
          <w:bCs/>
          <w:sz w:val="32"/>
          <w:szCs w:val="32"/>
        </w:rPr>
        <w:t>支出</w:t>
      </w:r>
      <w:r>
        <w:rPr>
          <w:rFonts w:hint="default" w:ascii="仿宋_GB2312" w:hAnsi="ˎ̥" w:eastAsia="仿宋_GB2312"/>
          <w:color w:val="FF0000"/>
          <w:sz w:val="32"/>
          <w:szCs w:val="32"/>
          <w:lang w:val="en-US"/>
        </w:rPr>
        <w:t>65.91</w:t>
      </w:r>
      <w:r>
        <w:rPr>
          <w:rFonts w:hint="eastAsia" w:ascii="仿宋_GB2312" w:hAnsi="ˎ̥" w:eastAsia="仿宋_GB2312"/>
          <w:sz w:val="32"/>
          <w:szCs w:val="32"/>
        </w:rPr>
        <w:t>万元。其中：</w:t>
      </w:r>
    </w:p>
    <w:p w14:paraId="0BB159CD">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公务用车购置</w:t>
      </w:r>
      <w:r>
        <w:rPr>
          <w:rFonts w:hint="eastAsia" w:ascii="仿宋_GB2312" w:hAnsi="ˎ̥" w:eastAsia="仿宋_GB2312"/>
          <w:b w:val="0"/>
          <w:bCs/>
          <w:sz w:val="32"/>
          <w:szCs w:val="32"/>
        </w:rPr>
        <w:t>支出</w:t>
      </w:r>
      <w:r>
        <w:rPr>
          <w:rFonts w:hint="eastAsia" w:ascii="仿宋_GB2312" w:hAnsi="ˎ̥" w:eastAsia="仿宋_GB2312"/>
          <w:b w:val="0"/>
          <w:bCs/>
          <w:sz w:val="32"/>
          <w:szCs w:val="32"/>
          <w:lang w:val="en-US" w:eastAsia="zh-CN"/>
        </w:rPr>
        <w:t>0</w:t>
      </w:r>
      <w:r>
        <w:rPr>
          <w:rFonts w:hint="eastAsia" w:ascii="仿宋_GB2312" w:hAnsi="ˎ̥" w:eastAsia="仿宋_GB2312"/>
          <w:sz w:val="32"/>
          <w:szCs w:val="32"/>
        </w:rPr>
        <w:t>万元，全年购置公务用车</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辆，主要用年末公务用车保有量</w:t>
      </w:r>
      <w:r>
        <w:rPr>
          <w:rFonts w:hint="eastAsia" w:ascii="仿宋_GB2312" w:hAnsi="ˎ̥" w:eastAsia="仿宋_GB2312"/>
          <w:color w:val="FF0000"/>
          <w:sz w:val="32"/>
          <w:szCs w:val="32"/>
          <w:lang w:val="en-US" w:eastAsia="zh-CN"/>
        </w:rPr>
        <w:t>17</w:t>
      </w:r>
      <w:r>
        <w:rPr>
          <w:rFonts w:hint="eastAsia" w:ascii="仿宋_GB2312" w:hAnsi="ˎ̥" w:eastAsia="仿宋_GB2312"/>
          <w:sz w:val="32"/>
          <w:szCs w:val="32"/>
        </w:rPr>
        <w:t>辆。</w:t>
      </w:r>
    </w:p>
    <w:p w14:paraId="2F0F80CE">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公务用车运行维护费</w:t>
      </w:r>
      <w:r>
        <w:rPr>
          <w:rFonts w:hint="eastAsia" w:ascii="仿宋_GB2312" w:hAnsi="ˎ̥" w:eastAsia="仿宋_GB2312"/>
          <w:sz w:val="32"/>
          <w:szCs w:val="32"/>
        </w:rPr>
        <w:t>支出</w:t>
      </w:r>
      <w:r>
        <w:rPr>
          <w:rFonts w:hint="default" w:ascii="仿宋_GB2312" w:hAnsi="ˎ̥" w:eastAsia="仿宋_GB2312"/>
          <w:color w:val="FF0000"/>
          <w:sz w:val="32"/>
          <w:szCs w:val="32"/>
          <w:lang w:val="en-US"/>
        </w:rPr>
        <w:t>65.91</w:t>
      </w:r>
      <w:r>
        <w:rPr>
          <w:rFonts w:hint="eastAsia" w:ascii="仿宋_GB2312" w:hAnsi="ˎ̥" w:eastAsia="仿宋_GB2312"/>
          <w:sz w:val="32"/>
          <w:szCs w:val="32"/>
        </w:rPr>
        <w:t>万元，主要用于</w:t>
      </w:r>
      <w:r>
        <w:rPr>
          <w:rFonts w:hint="eastAsia" w:ascii="仿宋_GB2312" w:hAnsi="ˎ̥" w:eastAsia="仿宋_GB2312"/>
          <w:sz w:val="32"/>
          <w:szCs w:val="32"/>
          <w:lang w:eastAsia="zh-CN"/>
        </w:rPr>
        <w:t>日常市内及下乡出差油料费，车辆维修费，车辆检测费和车辆保险费等</w:t>
      </w:r>
      <w:r>
        <w:rPr>
          <w:rFonts w:hint="eastAsia" w:ascii="仿宋_GB2312" w:hAnsi="ˎ̥" w:eastAsia="仿宋_GB2312"/>
          <w:sz w:val="32"/>
          <w:szCs w:val="32"/>
        </w:rPr>
        <w:t>。</w:t>
      </w:r>
    </w:p>
    <w:p w14:paraId="314933E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Cs/>
          <w:sz w:val="32"/>
          <w:szCs w:val="32"/>
        </w:rPr>
      </w:pPr>
      <w:r>
        <w:rPr>
          <w:rFonts w:hint="eastAsia" w:ascii="仿宋_GB2312" w:hAnsi="ˎ̥" w:eastAsia="仿宋_GB2312"/>
          <w:bCs/>
          <w:sz w:val="32"/>
          <w:szCs w:val="32"/>
        </w:rPr>
        <w:t>公务用车购置及运行维护费支出决算数</w:t>
      </w:r>
      <w:r>
        <w:rPr>
          <w:rFonts w:hint="eastAsia" w:ascii="仿宋_GB2312" w:hAnsi="ˎ̥" w:eastAsia="仿宋_GB2312"/>
          <w:sz w:val="32"/>
          <w:szCs w:val="32"/>
        </w:rPr>
        <w:t>比预算数减少</w:t>
      </w:r>
      <w:r>
        <w:rPr>
          <w:rFonts w:hint="default" w:ascii="仿宋_GB2312" w:hAnsi="ˎ̥" w:eastAsia="仿宋_GB2312"/>
          <w:color w:val="FF0000"/>
          <w:sz w:val="32"/>
          <w:szCs w:val="32"/>
        </w:rPr>
        <w:t>6.84</w:t>
      </w:r>
      <w:r>
        <w:rPr>
          <w:rFonts w:hint="eastAsia" w:ascii="仿宋_GB2312" w:hAnsi="ˎ̥" w:eastAsia="仿宋_GB2312"/>
          <w:sz w:val="32"/>
          <w:szCs w:val="32"/>
        </w:rPr>
        <w:t>万元，</w:t>
      </w:r>
      <w:r>
        <w:rPr>
          <w:rFonts w:hint="eastAsia" w:ascii="仿宋_GB2312" w:hAnsi="ˎ̥" w:eastAsia="仿宋_GB2312"/>
          <w:sz w:val="32"/>
          <w:szCs w:val="32"/>
          <w:lang w:val="en-US" w:eastAsia="zh-CN"/>
        </w:rPr>
        <w:t>完成预算的</w:t>
      </w:r>
      <w:r>
        <w:rPr>
          <w:rFonts w:hint="default" w:ascii="仿宋_GB2312" w:hAnsi="ˎ̥" w:eastAsia="仿宋_GB2312"/>
          <w:color w:val="FF0000"/>
          <w:sz w:val="32"/>
          <w:szCs w:val="32"/>
        </w:rPr>
        <w:t>90.6</w:t>
      </w:r>
      <w:r>
        <w:rPr>
          <w:rFonts w:hint="eastAsia" w:ascii="仿宋_GB2312" w:hAnsi="ˎ̥" w:eastAsia="仿宋_GB2312"/>
          <w:sz w:val="32"/>
          <w:szCs w:val="32"/>
        </w:rPr>
        <w:t>%</w:t>
      </w:r>
      <w:r>
        <w:rPr>
          <w:rFonts w:hint="eastAsia" w:ascii="仿宋_GB2312" w:hAnsi="ˎ̥" w:eastAsia="仿宋_GB2312"/>
          <w:sz w:val="32"/>
          <w:szCs w:val="32"/>
          <w:lang w:val="en-US" w:eastAsia="zh-CN"/>
        </w:rPr>
        <w:t>。</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w:t>
      </w:r>
      <w:r>
        <w:rPr>
          <w:rFonts w:ascii="仿宋_GB2312" w:hAnsi="ˎ̥" w:eastAsia="仿宋_GB2312"/>
          <w:sz w:val="32"/>
          <w:szCs w:val="32"/>
        </w:rPr>
        <w:t>相比，</w:t>
      </w:r>
      <w:r>
        <w:rPr>
          <w:rFonts w:hint="eastAsia" w:ascii="仿宋_GB2312" w:hAnsi="ˎ̥" w:eastAsia="仿宋_GB2312"/>
          <w:bCs/>
          <w:sz w:val="32"/>
          <w:szCs w:val="32"/>
        </w:rPr>
        <w:t>公务用车购置及运行维护费</w:t>
      </w:r>
      <w:r>
        <w:rPr>
          <w:rFonts w:hint="eastAsia" w:ascii="仿宋_GB2312" w:hAnsi="ˎ̥" w:eastAsia="仿宋_GB2312"/>
          <w:sz w:val="32"/>
          <w:szCs w:val="32"/>
        </w:rPr>
        <w:t>支出增加</w:t>
      </w:r>
      <w:r>
        <w:rPr>
          <w:rFonts w:hint="default" w:ascii="仿宋_GB2312" w:hAnsi="ˎ̥" w:eastAsia="仿宋_GB2312"/>
          <w:color w:val="FF0000"/>
          <w:sz w:val="32"/>
          <w:szCs w:val="32"/>
        </w:rPr>
        <w:t>14.63</w:t>
      </w:r>
      <w:r>
        <w:rPr>
          <w:rFonts w:hint="eastAsia" w:ascii="仿宋_GB2312" w:hAnsi="ˎ̥" w:eastAsia="仿宋_GB2312"/>
          <w:sz w:val="32"/>
          <w:szCs w:val="32"/>
        </w:rPr>
        <w:t>万元</w:t>
      </w:r>
      <w:r>
        <w:rPr>
          <w:rFonts w:ascii="仿宋_GB2312" w:hAnsi="ˎ̥" w:eastAsia="仿宋_GB2312"/>
          <w:sz w:val="32"/>
          <w:szCs w:val="32"/>
        </w:rPr>
        <w:t>，增长</w:t>
      </w:r>
      <w:r>
        <w:rPr>
          <w:rFonts w:hint="default" w:ascii="仿宋_GB2312" w:hAnsi="ˎ̥" w:eastAsia="仿宋_GB2312"/>
          <w:color w:val="FF0000"/>
          <w:sz w:val="32"/>
          <w:szCs w:val="32"/>
        </w:rPr>
        <w:t>28.5</w:t>
      </w:r>
      <w:r>
        <w:rPr>
          <w:rFonts w:hint="eastAsia" w:ascii="仿宋_GB2312" w:hAnsi="ˎ̥" w:eastAsia="仿宋_GB2312"/>
          <w:sz w:val="32"/>
          <w:szCs w:val="32"/>
        </w:rPr>
        <w:t>%，主要原因是</w:t>
      </w:r>
      <w:r>
        <w:rPr>
          <w:rFonts w:hint="default" w:ascii="仿宋_GB2312" w:hAnsi="ˎ̥" w:eastAsia="仿宋_GB2312"/>
          <w:sz w:val="32"/>
          <w:szCs w:val="32"/>
        </w:rPr>
        <w:t>下乡检查次数增多</w:t>
      </w:r>
      <w:r>
        <w:rPr>
          <w:rFonts w:hint="eastAsia" w:ascii="仿宋_GB2312" w:hAnsi="ˎ̥" w:eastAsia="仿宋_GB2312"/>
          <w:sz w:val="32"/>
          <w:szCs w:val="32"/>
        </w:rPr>
        <w:t>。</w:t>
      </w:r>
    </w:p>
    <w:p w14:paraId="4815CAD6">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b/>
          <w:sz w:val="32"/>
          <w:szCs w:val="32"/>
        </w:rPr>
        <w:t xml:space="preserve">    3.公务接待费</w:t>
      </w:r>
      <w:r>
        <w:rPr>
          <w:rFonts w:hint="eastAsia" w:ascii="仿宋_GB2312" w:hAnsi="ˎ̥" w:eastAsia="仿宋_GB2312"/>
          <w:b w:val="0"/>
          <w:bCs/>
          <w:sz w:val="32"/>
          <w:szCs w:val="32"/>
        </w:rPr>
        <w:t>支出</w:t>
      </w:r>
      <w:r>
        <w:rPr>
          <w:rFonts w:hint="default" w:ascii="仿宋_GB2312" w:hAnsi="ˎ̥" w:eastAsia="仿宋_GB2312"/>
          <w:color w:val="FF0000"/>
          <w:sz w:val="32"/>
          <w:szCs w:val="32"/>
          <w:lang w:val="en-US"/>
        </w:rPr>
        <w:t>2.24</w:t>
      </w:r>
      <w:r>
        <w:rPr>
          <w:rFonts w:hint="eastAsia" w:ascii="仿宋_GB2312" w:hAnsi="ˎ̥" w:eastAsia="仿宋_GB2312"/>
          <w:sz w:val="32"/>
          <w:szCs w:val="32"/>
        </w:rPr>
        <w:t>万元，其中：</w:t>
      </w:r>
    </w:p>
    <w:p w14:paraId="0444BB16">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国内接待费</w:t>
      </w:r>
      <w:r>
        <w:rPr>
          <w:rFonts w:hint="eastAsia" w:ascii="仿宋_GB2312" w:hAnsi="ˎ̥" w:eastAsia="仿宋_GB2312"/>
          <w:sz w:val="32"/>
          <w:szCs w:val="32"/>
        </w:rPr>
        <w:t>支出</w:t>
      </w:r>
      <w:r>
        <w:rPr>
          <w:rFonts w:hint="default" w:ascii="仿宋_GB2312" w:hAnsi="ˎ̥" w:eastAsia="仿宋_GB2312"/>
          <w:color w:val="FF0000"/>
          <w:sz w:val="32"/>
          <w:szCs w:val="32"/>
        </w:rPr>
        <w:t>2.24</w:t>
      </w:r>
      <w:r>
        <w:rPr>
          <w:rFonts w:hint="eastAsia" w:ascii="仿宋_GB2312" w:hAnsi="ˎ̥" w:eastAsia="仿宋_GB2312"/>
          <w:sz w:val="32"/>
          <w:szCs w:val="32"/>
        </w:rPr>
        <w:t>万元，国内公务接待</w:t>
      </w:r>
      <w:r>
        <w:rPr>
          <w:rFonts w:hint="default" w:ascii="仿宋_GB2312" w:hAnsi="ˎ̥" w:eastAsia="仿宋_GB2312"/>
          <w:color w:val="FF0000"/>
          <w:sz w:val="32"/>
          <w:szCs w:val="32"/>
        </w:rPr>
        <w:t>10</w:t>
      </w:r>
      <w:r>
        <w:rPr>
          <w:rFonts w:hint="eastAsia" w:ascii="仿宋_GB2312" w:hAnsi="ˎ̥" w:eastAsia="仿宋_GB2312"/>
          <w:sz w:val="32"/>
          <w:szCs w:val="32"/>
        </w:rPr>
        <w:t>批次，接待</w:t>
      </w:r>
      <w:r>
        <w:rPr>
          <w:rFonts w:hint="default" w:ascii="仿宋_GB2312" w:hAnsi="ˎ̥" w:eastAsia="仿宋_GB2312"/>
          <w:color w:val="FF0000"/>
          <w:sz w:val="32"/>
          <w:szCs w:val="32"/>
        </w:rPr>
        <w:t>30</w:t>
      </w:r>
      <w:r>
        <w:rPr>
          <w:rFonts w:hint="eastAsia" w:ascii="仿宋_GB2312" w:hAnsi="ˎ̥" w:eastAsia="仿宋_GB2312"/>
          <w:sz w:val="32"/>
          <w:szCs w:val="32"/>
        </w:rPr>
        <w:t>人次；主要用于</w:t>
      </w:r>
      <w:r>
        <w:rPr>
          <w:rFonts w:hint="default" w:ascii="仿宋_GB2312" w:hAnsi="ˎ̥" w:eastAsia="仿宋_GB2312"/>
          <w:sz w:val="32"/>
          <w:szCs w:val="32"/>
        </w:rPr>
        <w:t>公务接待</w:t>
      </w:r>
      <w:r>
        <w:rPr>
          <w:rFonts w:hint="eastAsia" w:ascii="仿宋_GB2312" w:hAnsi="ˎ̥" w:eastAsia="仿宋_GB2312"/>
          <w:sz w:val="32"/>
          <w:szCs w:val="32"/>
        </w:rPr>
        <w:t>。</w:t>
      </w:r>
    </w:p>
    <w:p w14:paraId="4AC126C2">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bCs/>
          <w:sz w:val="32"/>
          <w:szCs w:val="32"/>
        </w:rPr>
        <w:t>国（境）外接待费</w:t>
      </w:r>
      <w:r>
        <w:rPr>
          <w:rFonts w:hint="eastAsia" w:ascii="仿宋_GB2312" w:hAnsi="ˎ̥" w:eastAsia="仿宋_GB2312"/>
          <w:sz w:val="32"/>
          <w:szCs w:val="32"/>
        </w:rPr>
        <w:t>支出</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万元，国（境）外公务接待</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批次，接待</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人次。</w:t>
      </w:r>
    </w:p>
    <w:p w14:paraId="0374301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公务接待费支出决算数比预算数减少</w:t>
      </w:r>
      <w:r>
        <w:rPr>
          <w:rFonts w:hint="default" w:ascii="仿宋_GB2312" w:hAnsi="ˎ̥" w:eastAsia="仿宋_GB2312"/>
          <w:color w:val="FF0000"/>
          <w:sz w:val="32"/>
          <w:szCs w:val="32"/>
        </w:rPr>
        <w:t>1.64</w:t>
      </w:r>
      <w:r>
        <w:rPr>
          <w:rFonts w:hint="eastAsia" w:ascii="仿宋_GB2312" w:hAnsi="ˎ̥" w:eastAsia="仿宋_GB2312"/>
          <w:sz w:val="32"/>
          <w:szCs w:val="32"/>
        </w:rPr>
        <w:t>万元，</w:t>
      </w:r>
      <w:r>
        <w:rPr>
          <w:rFonts w:hint="eastAsia" w:ascii="仿宋_GB2312" w:hAnsi="ˎ̥" w:eastAsia="仿宋_GB2312"/>
          <w:sz w:val="32"/>
          <w:szCs w:val="32"/>
          <w:lang w:val="en-US" w:eastAsia="zh-CN"/>
        </w:rPr>
        <w:t>完成预算的</w:t>
      </w:r>
      <w:r>
        <w:rPr>
          <w:rFonts w:hint="default" w:ascii="仿宋_GB2312" w:hAnsi="ˎ̥" w:eastAsia="仿宋_GB2312"/>
          <w:color w:val="FF0000"/>
          <w:sz w:val="32"/>
          <w:szCs w:val="32"/>
        </w:rPr>
        <w:t>57.</w:t>
      </w:r>
      <w:r>
        <w:rPr>
          <w:rFonts w:hint="eastAsia" w:ascii="仿宋_GB2312" w:hAnsi="ˎ̥" w:eastAsia="仿宋_GB2312"/>
          <w:color w:val="FF0000"/>
          <w:sz w:val="32"/>
          <w:szCs w:val="32"/>
          <w:lang w:val="en-US" w:eastAsia="zh-CN"/>
        </w:rPr>
        <w:t>7</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w:t>
      </w:r>
      <w:r>
        <w:rPr>
          <w:rFonts w:ascii="仿宋_GB2312" w:hAnsi="ˎ̥" w:eastAsia="仿宋_GB2312"/>
          <w:sz w:val="32"/>
          <w:szCs w:val="32"/>
        </w:rPr>
        <w:t>相比，</w:t>
      </w:r>
      <w:r>
        <w:rPr>
          <w:rFonts w:hint="eastAsia" w:ascii="仿宋_GB2312" w:hAnsi="ˎ̥" w:eastAsia="仿宋_GB2312"/>
          <w:bCs/>
          <w:sz w:val="32"/>
          <w:szCs w:val="32"/>
        </w:rPr>
        <w:t>公务接待费</w:t>
      </w:r>
      <w:r>
        <w:rPr>
          <w:rFonts w:hint="eastAsia" w:ascii="仿宋_GB2312" w:hAnsi="ˎ̥" w:eastAsia="仿宋_GB2312"/>
          <w:sz w:val="32"/>
          <w:szCs w:val="32"/>
        </w:rPr>
        <w:t>支出增加</w:t>
      </w:r>
      <w:r>
        <w:rPr>
          <w:rFonts w:hint="eastAsia" w:ascii="仿宋_GB2312" w:hAnsi="ˎ̥" w:eastAsia="仿宋_GB2312"/>
          <w:sz w:val="32"/>
          <w:szCs w:val="32"/>
          <w:lang w:val="en-US" w:eastAsia="zh-CN"/>
        </w:rPr>
        <w:t>2.24</w:t>
      </w:r>
      <w:r>
        <w:rPr>
          <w:rFonts w:hint="eastAsia" w:ascii="仿宋_GB2312" w:hAnsi="ˎ̥" w:eastAsia="仿宋_GB2312"/>
          <w:sz w:val="32"/>
          <w:szCs w:val="32"/>
        </w:rPr>
        <w:t>万元</w:t>
      </w:r>
      <w:r>
        <w:rPr>
          <w:rFonts w:ascii="仿宋_GB2312" w:hAnsi="ˎ̥" w:eastAsia="仿宋_GB2312"/>
          <w:sz w:val="32"/>
          <w:szCs w:val="32"/>
        </w:rPr>
        <w:t>，增长</w:t>
      </w:r>
      <w:r>
        <w:rPr>
          <w:rFonts w:hint="eastAsia" w:ascii="仿宋_GB2312" w:hAnsi="ˎ̥" w:eastAsia="仿宋_GB2312"/>
          <w:sz w:val="32"/>
          <w:szCs w:val="32"/>
          <w:lang w:val="en-US" w:eastAsia="zh-CN"/>
        </w:rPr>
        <w:t>100</w:t>
      </w:r>
      <w:r>
        <w:rPr>
          <w:rFonts w:hint="eastAsia" w:ascii="仿宋_GB2312" w:hAnsi="ˎ̥" w:eastAsia="仿宋_GB2312"/>
          <w:sz w:val="32"/>
          <w:szCs w:val="32"/>
        </w:rPr>
        <w:t>%，主要原因是</w:t>
      </w:r>
      <w:r>
        <w:rPr>
          <w:rFonts w:hint="eastAsia" w:ascii="仿宋_GB2312" w:hAnsi="ˎ̥" w:eastAsia="仿宋_GB2312"/>
          <w:sz w:val="32"/>
          <w:szCs w:val="32"/>
          <w:lang w:eastAsia="zh-CN"/>
        </w:rPr>
        <w:t>公务接待次数增多</w:t>
      </w:r>
      <w:r>
        <w:rPr>
          <w:rFonts w:hint="eastAsia" w:ascii="仿宋_GB2312" w:hAnsi="ˎ̥" w:eastAsia="仿宋_GB2312"/>
          <w:sz w:val="32"/>
          <w:szCs w:val="32"/>
        </w:rPr>
        <w:t>。</w:t>
      </w:r>
    </w:p>
    <w:p w14:paraId="2A2F45B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default" w:ascii="仿宋_GB2312" w:hAnsi="ˎ̥" w:eastAsia="仿宋_GB2312"/>
          <w:sz w:val="32"/>
          <w:szCs w:val="32"/>
          <w:lang w:val="en-US"/>
        </w:rPr>
        <w:t>2024</w:t>
      </w:r>
      <w:r>
        <w:rPr>
          <w:rFonts w:hint="eastAsia" w:ascii="仿宋_GB2312" w:hAnsi="ˎ̥" w:eastAsia="仿宋_GB2312"/>
          <w:sz w:val="32"/>
          <w:szCs w:val="32"/>
        </w:rPr>
        <w:t>年度“三公”经费预算数、决算数可取自财决公开09表，出国团组数、出国人次，公务用车购置数、公务用车保有量，接待团组数、接待人次可取自部门决算报表F03表《机构运行信息表》，</w:t>
      </w:r>
      <w:r>
        <w:rPr>
          <w:rFonts w:hint="default" w:ascii="仿宋_GB2312" w:hAnsi="ˎ̥" w:eastAsia="仿宋_GB2312"/>
          <w:sz w:val="32"/>
          <w:szCs w:val="32"/>
          <w:lang w:val="en-US"/>
        </w:rPr>
        <w:t>2023</w:t>
      </w:r>
      <w:r>
        <w:rPr>
          <w:rFonts w:hint="eastAsia" w:ascii="仿宋_GB2312" w:hAnsi="ˎ̥" w:eastAsia="仿宋_GB2312"/>
          <w:sz w:val="32"/>
          <w:szCs w:val="32"/>
        </w:rPr>
        <w:t>年度相关</w:t>
      </w:r>
      <w:r>
        <w:rPr>
          <w:rFonts w:ascii="仿宋_GB2312" w:hAnsi="ˎ̥" w:eastAsia="仿宋_GB2312"/>
          <w:sz w:val="32"/>
          <w:szCs w:val="32"/>
        </w:rPr>
        <w:t>数据</w:t>
      </w:r>
      <w:r>
        <w:rPr>
          <w:rFonts w:hint="eastAsia" w:ascii="仿宋_GB2312" w:hAnsi="ˎ̥" w:eastAsia="仿宋_GB2312"/>
          <w:sz w:val="32"/>
          <w:szCs w:val="32"/>
        </w:rPr>
        <w:t>可取自</w:t>
      </w:r>
      <w:r>
        <w:rPr>
          <w:rFonts w:hint="default" w:ascii="仿宋_GB2312" w:hAnsi="ˎ̥" w:eastAsia="仿宋_GB2312"/>
          <w:sz w:val="32"/>
          <w:szCs w:val="32"/>
          <w:lang w:val="en-US"/>
        </w:rPr>
        <w:t>2023</w:t>
      </w:r>
      <w:r>
        <w:rPr>
          <w:rFonts w:hint="eastAsia" w:ascii="仿宋_GB2312" w:hAnsi="ˎ̥" w:eastAsia="仿宋_GB2312"/>
          <w:sz w:val="32"/>
          <w:szCs w:val="32"/>
        </w:rPr>
        <w:t>年度</w:t>
      </w:r>
      <w:r>
        <w:rPr>
          <w:rFonts w:ascii="仿宋_GB2312" w:hAnsi="ˎ̥" w:eastAsia="仿宋_GB2312"/>
          <w:sz w:val="32"/>
          <w:szCs w:val="32"/>
        </w:rPr>
        <w:t>部门决算报表</w:t>
      </w:r>
      <w:r>
        <w:rPr>
          <w:rFonts w:hint="eastAsia" w:ascii="仿宋_GB2312" w:hAnsi="ˎ̥" w:eastAsia="仿宋_GB2312"/>
          <w:sz w:val="32"/>
          <w:szCs w:val="32"/>
        </w:rPr>
        <w:t>F03表《机构</w:t>
      </w:r>
      <w:r>
        <w:rPr>
          <w:rFonts w:ascii="仿宋_GB2312" w:hAnsi="ˎ̥" w:eastAsia="仿宋_GB2312"/>
          <w:sz w:val="32"/>
          <w:szCs w:val="32"/>
        </w:rPr>
        <w:t>运行信息表》</w:t>
      </w:r>
      <w:r>
        <w:rPr>
          <w:rFonts w:hint="eastAsia" w:ascii="仿宋_GB2312" w:hAnsi="ˎ̥" w:eastAsia="仿宋_GB2312"/>
          <w:sz w:val="32"/>
          <w:szCs w:val="32"/>
          <w:lang w:eastAsia="zh-CN"/>
        </w:rPr>
        <w:t>。</w:t>
      </w:r>
      <w:r>
        <w:rPr>
          <w:rFonts w:hint="eastAsia" w:ascii="仿宋_GB2312" w:hAnsi="ˎ̥" w:eastAsia="仿宋_GB2312"/>
          <w:sz w:val="32"/>
          <w:szCs w:val="32"/>
        </w:rPr>
        <w:t>）</w:t>
      </w:r>
    </w:p>
    <w:p w14:paraId="3B8181B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十、预算绩效情况说明</w:t>
      </w:r>
    </w:p>
    <w:p w14:paraId="16F958C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（一）绩效管理工作开展情况</w:t>
      </w:r>
    </w:p>
    <w:p w14:paraId="6C3543C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根据财政预算绩效管理要求，可按照如下格式说明：根据预算管理要求，我部门（单位）组织对</w:t>
      </w:r>
      <w:r>
        <w:rPr>
          <w:rFonts w:hint="default" w:ascii="仿宋_GB2312" w:eastAsia="仿宋_GB2312"/>
          <w:sz w:val="32"/>
          <w:szCs w:val="32"/>
          <w:lang w:val="en-US"/>
        </w:rPr>
        <w:t>2024</w:t>
      </w:r>
      <w:r>
        <w:rPr>
          <w:rFonts w:hint="eastAsia" w:ascii="仿宋_GB2312" w:eastAsia="仿宋_GB2312"/>
          <w:sz w:val="32"/>
          <w:szCs w:val="32"/>
        </w:rPr>
        <w:t>年度一般公共预算项目支出全面开展绩效自评</w:t>
      </w:r>
      <w:r>
        <w:rPr>
          <w:rFonts w:hint="default" w:ascii="仿宋_GB2312" w:eastAsia="仿宋_GB2312"/>
          <w:sz w:val="32"/>
          <w:szCs w:val="32"/>
          <w:lang w:val="en-US"/>
        </w:rPr>
        <w:t>,</w:t>
      </w:r>
      <w:r>
        <w:rPr>
          <w:rFonts w:hint="eastAsia" w:ascii="仿宋_GB2312" w:eastAsia="仿宋_GB2312"/>
          <w:sz w:val="32"/>
          <w:szCs w:val="32"/>
          <w:lang w:val="en-US" w:eastAsia="zh-CN"/>
        </w:rPr>
        <w:t>共涉及资金1140.4万元，占一般公共预算项目支出总额的</w:t>
      </w:r>
      <w:r>
        <w:rPr>
          <w:rFonts w:hint="eastAsia" w:ascii="仿宋_GB2312" w:eastAsia="仿宋_GB2312"/>
          <w:color w:val="FF0000"/>
          <w:sz w:val="32"/>
          <w:szCs w:val="32"/>
          <w:lang w:val="en-US" w:eastAsia="zh-CN"/>
        </w:rPr>
        <w:t>100</w:t>
      </w:r>
      <w:r>
        <w:rPr>
          <w:rFonts w:hint="eastAsia" w:ascii="仿宋_GB2312" w:eastAsia="仿宋_GB2312"/>
          <w:sz w:val="32"/>
          <w:szCs w:val="32"/>
          <w:lang w:val="en-US" w:eastAsia="zh-CN"/>
        </w:rPr>
        <w:t>%</w:t>
      </w:r>
      <w:r>
        <w:rPr>
          <w:rFonts w:hint="eastAsia" w:ascii="仿宋_GB2312" w:eastAsia="仿宋_GB2312"/>
          <w:sz w:val="32"/>
          <w:szCs w:val="32"/>
        </w:rPr>
        <w:t>。</w:t>
      </w:r>
    </w:p>
    <w:p w14:paraId="63E77EB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共组织对“</w:t>
      </w:r>
      <w:r>
        <w:rPr>
          <w:rFonts w:hint="eastAsia" w:ascii="仿宋_GB2312" w:eastAsia="仿宋_GB2312"/>
          <w:color w:val="FF0000"/>
          <w:sz w:val="32"/>
          <w:szCs w:val="32"/>
          <w:lang w:val="en-US" w:eastAsia="zh-CN"/>
        </w:rPr>
        <w:t>质量强市</w:t>
      </w:r>
      <w:r>
        <w:rPr>
          <w:rFonts w:hint="eastAsia" w:ascii="仿宋_GB2312" w:eastAsia="仿宋_GB2312"/>
          <w:sz w:val="32"/>
          <w:szCs w:val="32"/>
        </w:rPr>
        <w:t>”等</w:t>
      </w:r>
      <w:r>
        <w:rPr>
          <w:rFonts w:hint="eastAsia" w:ascii="仿宋_GB2312" w:eastAsia="仿宋_GB2312"/>
          <w:color w:val="FF0000"/>
          <w:sz w:val="32"/>
          <w:szCs w:val="32"/>
          <w:lang w:val="en-US" w:eastAsia="zh-CN"/>
        </w:rPr>
        <w:t>20</w:t>
      </w:r>
      <w:r>
        <w:rPr>
          <w:rFonts w:hint="eastAsia" w:ascii="仿宋_GB2312" w:eastAsia="仿宋_GB2312"/>
          <w:sz w:val="32"/>
          <w:szCs w:val="32"/>
        </w:rPr>
        <w:t>个项目开展了部门评价，</w:t>
      </w:r>
      <w:r>
        <w:rPr>
          <w:rFonts w:hint="eastAsia" w:ascii="仿宋_GB2312" w:eastAsia="仿宋_GB2312"/>
          <w:sz w:val="32"/>
          <w:szCs w:val="32"/>
          <w:lang w:bidi="ar"/>
        </w:rPr>
        <w:t>涉及一般公共预算支出</w:t>
      </w:r>
      <w:r>
        <w:rPr>
          <w:rFonts w:hint="eastAsia" w:ascii="仿宋_GB2312" w:eastAsia="仿宋_GB2312"/>
          <w:color w:val="FF0000"/>
          <w:sz w:val="32"/>
          <w:szCs w:val="32"/>
          <w:lang w:val="en-US" w:eastAsia="zh-CN" w:bidi="ar"/>
        </w:rPr>
        <w:t>564.14</w:t>
      </w:r>
      <w:r>
        <w:rPr>
          <w:rFonts w:hint="eastAsia" w:ascii="仿宋_GB2312" w:eastAsia="仿宋_GB2312"/>
          <w:sz w:val="32"/>
          <w:szCs w:val="32"/>
          <w:lang w:bidi="ar"/>
        </w:rPr>
        <w:t>万元，政府性基金预算支出</w:t>
      </w:r>
      <w:r>
        <w:rPr>
          <w:rFonts w:hint="eastAsia" w:ascii="仿宋_GB2312" w:eastAsia="仿宋_GB2312"/>
          <w:color w:val="FF0000"/>
          <w:sz w:val="32"/>
          <w:szCs w:val="32"/>
          <w:lang w:val="en-US" w:eastAsia="zh-CN" w:bidi="ar"/>
        </w:rPr>
        <w:t>0</w:t>
      </w:r>
      <w:r>
        <w:rPr>
          <w:rFonts w:hint="eastAsia" w:ascii="仿宋_GB2312" w:eastAsia="仿宋_GB2312"/>
          <w:sz w:val="32"/>
          <w:szCs w:val="32"/>
          <w:lang w:bidi="ar"/>
        </w:rPr>
        <w:t>万元，国有资本经营预算支出</w:t>
      </w:r>
      <w:r>
        <w:rPr>
          <w:rFonts w:hint="eastAsia" w:ascii="仿宋_GB2312" w:eastAsia="仿宋_GB2312"/>
          <w:color w:val="FF0000"/>
          <w:sz w:val="32"/>
          <w:szCs w:val="32"/>
          <w:lang w:val="en-US" w:eastAsia="zh-CN" w:bidi="ar"/>
        </w:rPr>
        <w:t>0</w:t>
      </w:r>
      <w:r>
        <w:rPr>
          <w:rFonts w:hint="eastAsia" w:ascii="仿宋_GB2312" w:eastAsia="仿宋_GB2312"/>
          <w:sz w:val="32"/>
          <w:szCs w:val="32"/>
          <w:lang w:bidi="ar"/>
        </w:rPr>
        <w:t>万元。</w:t>
      </w:r>
      <w:r>
        <w:rPr>
          <w:rFonts w:hint="eastAsia" w:ascii="仿宋_GB2312" w:eastAsia="仿宋_GB2312"/>
          <w:sz w:val="32"/>
          <w:szCs w:val="32"/>
        </w:rPr>
        <w:t>从评价情况来看，……（预算部门如有，请对预算绩效评价情况进行简单说明；没有，则简要说明本年没有进行相关工作及理由。部门所属单位不需填写此项）。</w:t>
      </w:r>
    </w:p>
    <w:p w14:paraId="16FFC1C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bCs/>
          <w:sz w:val="32"/>
          <w:szCs w:val="32"/>
        </w:rPr>
      </w:pPr>
      <w:r>
        <w:rPr>
          <w:rFonts w:hint="eastAsia" w:ascii="楷体" w:hAnsi="楷体" w:eastAsia="楷体" w:cs="楷体"/>
          <w:bCs/>
          <w:sz w:val="32"/>
          <w:szCs w:val="32"/>
        </w:rPr>
        <w:t>（二）部门决算中项目绩效自评结果（预算部门、单位可根据实际情况反映重点项目绩效自评结果）</w:t>
      </w:r>
    </w:p>
    <w:p w14:paraId="08AEFB7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（三）部门评价结果（预算部门填写，部门所属单位不需填写）</w:t>
      </w:r>
    </w:p>
    <w:p w14:paraId="1AB4B91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部门评价项目数量在3个以内的，至少将1个部门评价报告向社会公开；部门评价项目数量大于3个的，至少将2个部门评价报告向社会公开。</w:t>
      </w:r>
    </w:p>
    <w:p w14:paraId="52EA427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（四）财政评价结果（如有）</w:t>
      </w:r>
    </w:p>
    <w:p w14:paraId="7B0BCD6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zh-CN"/>
        </w:rPr>
        <w:t>反映财政部门组织开展的预算部门（单位）重点项目财政评价情况，如有，可将评价报告附后。</w:t>
      </w:r>
    </w:p>
    <w:p w14:paraId="7FDC302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十一、其他重要事项情况说明</w:t>
      </w:r>
    </w:p>
    <w:p w14:paraId="42D67D3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95" w:name="_Toc5978_WPSOffice_Level2"/>
      <w:bookmarkStart w:id="96" w:name="_Toc18325_WPSOffice_Level2"/>
      <w:bookmarkStart w:id="97" w:name="_Toc32639_WPSOffice_Level2"/>
      <w:bookmarkStart w:id="98" w:name="_Toc23598_WPSOffice_Level2"/>
      <w:bookmarkStart w:id="99" w:name="_Toc15565_WPSOffice_Level2"/>
      <w:bookmarkStart w:id="100" w:name="_Toc15262_WPSOffice_Level2"/>
      <w:r>
        <w:rPr>
          <w:rFonts w:hint="eastAsia" w:ascii="楷体" w:hAnsi="楷体" w:eastAsia="楷体" w:cs="楷体"/>
          <w:bCs/>
          <w:sz w:val="32"/>
          <w:szCs w:val="32"/>
        </w:rPr>
        <w:t>（一）机关运行经费支出情况</w:t>
      </w:r>
      <w:bookmarkEnd w:id="95"/>
      <w:bookmarkEnd w:id="96"/>
      <w:bookmarkEnd w:id="97"/>
      <w:bookmarkEnd w:id="98"/>
      <w:bookmarkEnd w:id="99"/>
      <w:bookmarkEnd w:id="100"/>
    </w:p>
    <w:p w14:paraId="3938F2C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w:t>
      </w:r>
      <w:r>
        <w:rPr>
          <w:rFonts w:hint="eastAsia" w:ascii="仿宋_GB2312" w:hAnsi="ˎ̥" w:eastAsia="仿宋_GB2312"/>
          <w:sz w:val="32"/>
          <w:szCs w:val="32"/>
          <w:lang w:eastAsia="zh-CN"/>
        </w:rPr>
        <w:t>那曲市市场监督管理局</w:t>
      </w:r>
      <w:r>
        <w:rPr>
          <w:rFonts w:hint="eastAsia" w:ascii="仿宋_GB2312" w:hAnsi="ˎ̥" w:eastAsia="仿宋_GB2312"/>
          <w:sz w:val="32"/>
          <w:szCs w:val="32"/>
        </w:rPr>
        <w:t>部门（单位）机关运行经费</w:t>
      </w:r>
      <w:r>
        <w:rPr>
          <w:rFonts w:hint="eastAsia" w:ascii="仿宋_GB2312" w:hAnsi="ˎ̥" w:eastAsia="仿宋_GB2312"/>
          <w:color w:val="FF0000"/>
          <w:sz w:val="32"/>
          <w:szCs w:val="32"/>
          <w:lang w:val="en-US" w:eastAsia="zh-CN"/>
        </w:rPr>
        <w:t>281.47</w:t>
      </w:r>
      <w:r>
        <w:rPr>
          <w:rFonts w:hint="eastAsia" w:ascii="仿宋_GB2312" w:hAnsi="ˎ̥" w:eastAsia="仿宋_GB2312"/>
          <w:sz w:val="32"/>
          <w:szCs w:val="32"/>
        </w:rPr>
        <w:t>万元（为部门决算中行政单位和参公事业单位财政拨款基本支出中公用经费支出之和，事业单位没有机关运行经费支出），比年初预算减少</w:t>
      </w:r>
      <w:r>
        <w:rPr>
          <w:rFonts w:hint="eastAsia" w:ascii="仿宋_GB2312" w:hAnsi="ˎ̥" w:eastAsia="仿宋_GB2312"/>
          <w:sz w:val="32"/>
          <w:szCs w:val="32"/>
          <w:lang w:val="en-US" w:eastAsia="zh-CN"/>
        </w:rPr>
        <w:t>66.25</w:t>
      </w:r>
      <w:r>
        <w:rPr>
          <w:rFonts w:hint="eastAsia" w:ascii="仿宋_GB2312" w:hAnsi="ˎ̥" w:eastAsia="仿宋_GB2312"/>
          <w:sz w:val="32"/>
          <w:szCs w:val="32"/>
        </w:rPr>
        <w:t>万元，</w:t>
      </w:r>
      <w:r>
        <w:rPr>
          <w:rFonts w:hint="eastAsia" w:ascii="仿宋_GB2312" w:hAnsi="ˎ̥" w:eastAsia="仿宋_GB2312"/>
          <w:sz w:val="32"/>
          <w:szCs w:val="32"/>
          <w:lang w:val="en-US" w:eastAsia="zh-CN"/>
        </w:rPr>
        <w:t>完成预算的80.94</w:t>
      </w:r>
      <w:r>
        <w:rPr>
          <w:rFonts w:hint="eastAsia" w:ascii="仿宋_GB2312" w:hAnsi="ˎ̥" w:eastAsia="仿宋_GB2312"/>
          <w:sz w:val="32"/>
          <w:szCs w:val="32"/>
        </w:rPr>
        <w:t>%</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与2023年度相比，机关运行经费</w:t>
      </w:r>
      <w:r>
        <w:rPr>
          <w:rFonts w:hint="eastAsia" w:ascii="仿宋_GB2312" w:hAnsi="ˎ̥" w:eastAsia="仿宋_GB2312"/>
          <w:sz w:val="32"/>
          <w:szCs w:val="32"/>
        </w:rPr>
        <w:t>增加</w:t>
      </w:r>
      <w:r>
        <w:rPr>
          <w:rFonts w:hint="eastAsia" w:ascii="仿宋_GB2312" w:hAnsi="ˎ̥" w:eastAsia="仿宋_GB2312"/>
          <w:sz w:val="32"/>
          <w:szCs w:val="32"/>
          <w:lang w:val="en-US" w:eastAsia="zh-CN"/>
        </w:rPr>
        <w:t>50.1</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增长21.65%。</w:t>
      </w:r>
      <w:r>
        <w:rPr>
          <w:rFonts w:hint="eastAsia" w:ascii="仿宋_GB2312" w:hAnsi="ˎ̥" w:eastAsia="仿宋_GB2312"/>
          <w:sz w:val="32"/>
          <w:szCs w:val="32"/>
        </w:rPr>
        <w:t>主要原因是：</w:t>
      </w:r>
      <w:r>
        <w:rPr>
          <w:rFonts w:hint="eastAsia" w:ascii="仿宋_GB2312" w:hAnsi="ˎ̥" w:eastAsia="仿宋_GB2312"/>
          <w:sz w:val="32"/>
          <w:szCs w:val="32"/>
          <w:lang w:eastAsia="zh-CN" w:bidi="ar"/>
        </w:rPr>
        <w:t>三公经费支出增加</w:t>
      </w:r>
      <w:r>
        <w:rPr>
          <w:rFonts w:hint="eastAsia" w:ascii="仿宋_GB2312" w:hAnsi="ˎ̥" w:eastAsia="仿宋_GB2312"/>
          <w:sz w:val="32"/>
          <w:szCs w:val="32"/>
        </w:rPr>
        <w:t>。</w:t>
      </w:r>
    </w:p>
    <w:p w14:paraId="100BBB7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机关运行经费预算数可取自部门决算报表财决01-1表《财政拨款收入支出决算总表》，年初预算数-一般公共预算财政拨款-公用经费，注意部门汇总公开决算时，因事业单位没有机关运行经费支出，故部门汇总的机关运行经费预算数应为部门所属的各行政单位或参公单位的汇总数；决算数可取自</w:t>
      </w:r>
      <w:r>
        <w:rPr>
          <w:rFonts w:hint="default" w:ascii="仿宋_GB2312" w:hAnsi="ˎ̥" w:eastAsia="仿宋_GB2312"/>
          <w:sz w:val="32"/>
          <w:szCs w:val="32"/>
          <w:lang w:val="en-US"/>
        </w:rPr>
        <w:t>2024</w:t>
      </w:r>
      <w:r>
        <w:rPr>
          <w:rFonts w:hint="eastAsia" w:ascii="仿宋_GB2312" w:hAnsi="ˎ̥" w:eastAsia="仿宋_GB2312"/>
          <w:sz w:val="32"/>
          <w:szCs w:val="32"/>
        </w:rPr>
        <w:t>年度部门决算报表F03表《机构运行信息表》“机关运行经费”栏。）</w:t>
      </w:r>
    </w:p>
    <w:p w14:paraId="32FB8A2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101" w:name="_Toc23966_WPSOffice_Level2"/>
      <w:bookmarkStart w:id="102" w:name="_Toc25333_WPSOffice_Level2"/>
      <w:bookmarkStart w:id="103" w:name="_Toc32689_WPSOffice_Level2"/>
      <w:bookmarkStart w:id="104" w:name="_Toc3131_WPSOffice_Level2"/>
      <w:bookmarkStart w:id="105" w:name="_Toc13084_WPSOffice_Level2"/>
      <w:bookmarkStart w:id="106" w:name="_Toc30383_WPSOffice_Level2"/>
      <w:r>
        <w:rPr>
          <w:rFonts w:hint="eastAsia" w:ascii="楷体" w:hAnsi="楷体" w:eastAsia="楷体" w:cs="楷体"/>
          <w:bCs/>
          <w:sz w:val="32"/>
          <w:szCs w:val="32"/>
        </w:rPr>
        <w:t>（二）政府采购支出情况</w:t>
      </w:r>
      <w:bookmarkEnd w:id="101"/>
      <w:bookmarkEnd w:id="102"/>
      <w:bookmarkEnd w:id="103"/>
      <w:bookmarkEnd w:id="104"/>
      <w:bookmarkEnd w:id="105"/>
      <w:bookmarkEnd w:id="106"/>
    </w:p>
    <w:p w14:paraId="25335D4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w:t>
      </w:r>
      <w:r>
        <w:rPr>
          <w:rFonts w:hint="eastAsia" w:ascii="仿宋_GB2312" w:hAnsi="ˎ̥" w:eastAsia="仿宋_GB2312"/>
          <w:color w:val="FF0000"/>
          <w:sz w:val="32"/>
          <w:szCs w:val="32"/>
          <w:lang w:val="en-US" w:eastAsia="zh-CN"/>
        </w:rPr>
        <w:t>那曲市市场监督管理局</w:t>
      </w:r>
      <w:r>
        <w:rPr>
          <w:rFonts w:hint="eastAsia" w:ascii="仿宋_GB2312" w:hAnsi="ˎ̥" w:eastAsia="仿宋_GB2312"/>
          <w:sz w:val="32"/>
          <w:szCs w:val="32"/>
        </w:rPr>
        <w:t>部门（单位）政府采购支出总额</w:t>
      </w:r>
      <w:r>
        <w:rPr>
          <w:rFonts w:hint="eastAsia" w:ascii="仿宋_GB2312" w:hAnsi="ˎ̥" w:eastAsia="仿宋_GB2312"/>
          <w:color w:val="FF0000"/>
          <w:sz w:val="32"/>
          <w:szCs w:val="32"/>
          <w:lang w:val="en-US" w:eastAsia="zh-CN"/>
        </w:rPr>
        <w:t>279.16</w:t>
      </w:r>
      <w:r>
        <w:rPr>
          <w:rFonts w:hint="eastAsia" w:ascii="仿宋_GB2312" w:hAnsi="ˎ̥" w:eastAsia="仿宋_GB2312"/>
          <w:sz w:val="32"/>
          <w:szCs w:val="32"/>
        </w:rPr>
        <w:t>万元，其中：政府采购货物支出</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万元、政府采购工程支出</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万元、政府采购服务支出</w:t>
      </w:r>
      <w:r>
        <w:rPr>
          <w:rFonts w:hint="eastAsia" w:ascii="仿宋_GB2312" w:hAnsi="ˎ̥" w:eastAsia="仿宋_GB2312"/>
          <w:sz w:val="32"/>
          <w:szCs w:val="32"/>
          <w:lang w:val="en-US" w:eastAsia="zh-CN"/>
        </w:rPr>
        <w:t>279.16</w:t>
      </w:r>
      <w:r>
        <w:rPr>
          <w:rFonts w:hint="eastAsia" w:ascii="仿宋_GB2312" w:hAnsi="ˎ̥" w:eastAsia="仿宋_GB2312"/>
          <w:sz w:val="32"/>
          <w:szCs w:val="32"/>
        </w:rPr>
        <w:t>万元。</w:t>
      </w:r>
    </w:p>
    <w:p w14:paraId="5D7FFAF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上述政府采购支出相关</w:t>
      </w:r>
      <w:r>
        <w:rPr>
          <w:rFonts w:hint="eastAsia" w:ascii="仿宋_GB2312" w:hAnsi="ˎ̥" w:eastAsia="仿宋_GB2312"/>
          <w:sz w:val="32"/>
          <w:szCs w:val="32"/>
          <w:lang w:val="en-US" w:eastAsia="zh-CN"/>
        </w:rPr>
        <w:t>数据</w:t>
      </w:r>
      <w:r>
        <w:rPr>
          <w:rFonts w:hint="eastAsia" w:ascii="仿宋_GB2312" w:hAnsi="ˎ̥" w:eastAsia="仿宋_GB2312"/>
          <w:sz w:val="32"/>
          <w:szCs w:val="32"/>
        </w:rPr>
        <w:t>取自</w:t>
      </w:r>
      <w:r>
        <w:rPr>
          <w:rFonts w:hint="default" w:ascii="仿宋_GB2312" w:hAnsi="ˎ̥" w:eastAsia="仿宋_GB2312"/>
          <w:sz w:val="32"/>
          <w:szCs w:val="32"/>
          <w:lang w:val="en-US"/>
        </w:rPr>
        <w:t>2024</w:t>
      </w:r>
      <w:r>
        <w:rPr>
          <w:rFonts w:hint="eastAsia" w:ascii="仿宋_GB2312" w:hAnsi="ˎ̥" w:eastAsia="仿宋_GB2312"/>
          <w:sz w:val="32"/>
          <w:szCs w:val="32"/>
        </w:rPr>
        <w:t>年度部门决算报表F03表《机构运行信息表》，授予中小企业和小微企业合同金额由各部门查阅本部门相关资料填写。）</w:t>
      </w:r>
    </w:p>
    <w:p w14:paraId="3061DC4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107" w:name="_Toc29584_WPSOffice_Level2"/>
      <w:bookmarkStart w:id="108" w:name="_Toc6016_WPSOffice_Level2"/>
      <w:bookmarkStart w:id="109" w:name="_Toc19989_WPSOffice_Level2"/>
      <w:bookmarkStart w:id="110" w:name="_Toc527_WPSOffice_Level2"/>
      <w:bookmarkStart w:id="111" w:name="_Toc10902_WPSOffice_Level2"/>
      <w:bookmarkStart w:id="112" w:name="_Toc15129_WPSOffice_Level2"/>
      <w:r>
        <w:rPr>
          <w:rFonts w:hint="eastAsia" w:ascii="楷体" w:hAnsi="楷体" w:eastAsia="楷体" w:cs="楷体"/>
          <w:bCs/>
          <w:sz w:val="32"/>
          <w:szCs w:val="32"/>
        </w:rPr>
        <w:t>（三）国有资产占用情况</w:t>
      </w:r>
      <w:bookmarkEnd w:id="107"/>
      <w:bookmarkEnd w:id="108"/>
      <w:bookmarkEnd w:id="109"/>
      <w:bookmarkEnd w:id="110"/>
      <w:bookmarkEnd w:id="111"/>
      <w:bookmarkEnd w:id="112"/>
    </w:p>
    <w:p w14:paraId="4FC4FEB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bCs/>
          <w:sz w:val="32"/>
          <w:szCs w:val="32"/>
        </w:rPr>
        <w:t>截至</w:t>
      </w:r>
      <w:r>
        <w:rPr>
          <w:rFonts w:hint="default" w:ascii="仿宋_GB2312" w:hAnsi="ˎ̥" w:eastAsia="仿宋_GB2312"/>
          <w:bCs/>
          <w:sz w:val="32"/>
          <w:szCs w:val="32"/>
          <w:lang w:val="en-US"/>
        </w:rPr>
        <w:t>2024</w:t>
      </w:r>
      <w:r>
        <w:rPr>
          <w:rFonts w:hint="eastAsia" w:ascii="仿宋_GB2312" w:hAnsi="ˎ̥" w:eastAsia="仿宋_GB2312"/>
          <w:bCs/>
          <w:sz w:val="32"/>
          <w:szCs w:val="32"/>
        </w:rPr>
        <w:t>年12月31日，本部门拥有</w:t>
      </w:r>
      <w:r>
        <w:rPr>
          <w:rFonts w:hint="eastAsia" w:ascii="仿宋_GB2312" w:hAnsi="ˎ̥" w:eastAsia="仿宋_GB2312"/>
          <w:sz w:val="32"/>
          <w:szCs w:val="32"/>
        </w:rPr>
        <w:t>房屋面积</w:t>
      </w:r>
      <w:r>
        <w:rPr>
          <w:rFonts w:hint="eastAsia" w:ascii="仿宋_GB2312" w:hAnsi="ˎ̥" w:eastAsia="仿宋_GB2312"/>
          <w:color w:val="FF0000"/>
          <w:sz w:val="32"/>
          <w:szCs w:val="32"/>
          <w:lang w:val="en-US" w:eastAsia="zh-CN"/>
        </w:rPr>
        <w:t>16136.94</w:t>
      </w:r>
      <w:r>
        <w:rPr>
          <w:rFonts w:hint="eastAsia" w:ascii="仿宋_GB2312" w:hAnsi="ˎ̥" w:eastAsia="仿宋_GB2312"/>
          <w:sz w:val="32"/>
          <w:szCs w:val="32"/>
        </w:rPr>
        <w:t>平方米</w:t>
      </w:r>
      <w:r>
        <w:rPr>
          <w:rFonts w:hint="eastAsia" w:ascii="仿宋_GB2312" w:hAnsi="ˎ̥" w:eastAsia="仿宋_GB2312"/>
          <w:sz w:val="32"/>
          <w:szCs w:val="32"/>
          <w:lang w:eastAsia="zh-CN"/>
        </w:rPr>
        <w:t>。</w:t>
      </w:r>
    </w:p>
    <w:p w14:paraId="1E9C756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sz w:val="32"/>
          <w:szCs w:val="32"/>
          <w:lang w:val="en-US" w:eastAsia="zh-CN"/>
        </w:rPr>
      </w:pPr>
      <w:r>
        <w:rPr>
          <w:rFonts w:hint="eastAsia" w:ascii="仿宋_GB2312" w:hAnsi="ˎ̥" w:eastAsia="仿宋_GB2312"/>
          <w:sz w:val="32"/>
          <w:szCs w:val="32"/>
        </w:rPr>
        <w:t>本部门共有车辆</w:t>
      </w:r>
      <w:r>
        <w:rPr>
          <w:rFonts w:hint="eastAsia" w:ascii="仿宋_GB2312" w:hAnsi="ˎ̥" w:eastAsia="仿宋_GB2312"/>
          <w:color w:val="FF0000"/>
          <w:sz w:val="32"/>
          <w:szCs w:val="32"/>
          <w:lang w:val="en-US" w:eastAsia="zh-CN"/>
        </w:rPr>
        <w:t>17</w:t>
      </w:r>
      <w:r>
        <w:rPr>
          <w:rFonts w:hint="eastAsia" w:ascii="仿宋_GB2312" w:hAnsi="ˎ̥" w:eastAsia="仿宋_GB2312"/>
          <w:sz w:val="32"/>
          <w:szCs w:val="32"/>
        </w:rPr>
        <w:t>辆，其中，机要通信用车</w:t>
      </w:r>
      <w:r>
        <w:rPr>
          <w:rFonts w:hint="eastAsia" w:ascii="仿宋_GB2312" w:hAnsi="ˎ̥" w:eastAsia="仿宋_GB2312"/>
          <w:color w:val="FF0000"/>
          <w:sz w:val="32"/>
          <w:szCs w:val="32"/>
          <w:lang w:val="en-US" w:eastAsia="zh-CN"/>
        </w:rPr>
        <w:t>5</w:t>
      </w:r>
      <w:r>
        <w:rPr>
          <w:rFonts w:hint="eastAsia" w:ascii="仿宋_GB2312" w:hAnsi="ˎ̥" w:eastAsia="仿宋_GB2312"/>
          <w:sz w:val="32"/>
          <w:szCs w:val="32"/>
        </w:rPr>
        <w:t>辆、执法执勤用车</w:t>
      </w:r>
      <w:r>
        <w:rPr>
          <w:rFonts w:hint="eastAsia" w:ascii="仿宋_GB2312" w:hAnsi="ˎ̥" w:eastAsia="仿宋_GB2312"/>
          <w:color w:val="FF0000"/>
          <w:sz w:val="32"/>
          <w:szCs w:val="32"/>
          <w:lang w:val="en-US" w:eastAsia="zh-CN"/>
        </w:rPr>
        <w:t>9</w:t>
      </w:r>
      <w:r>
        <w:rPr>
          <w:rFonts w:hint="eastAsia" w:ascii="仿宋_GB2312" w:hAnsi="ˎ̥" w:eastAsia="仿宋_GB2312"/>
          <w:sz w:val="32"/>
          <w:szCs w:val="32"/>
        </w:rPr>
        <w:t>辆、特种专业技术用车</w:t>
      </w:r>
      <w:r>
        <w:rPr>
          <w:rFonts w:hint="eastAsia" w:ascii="仿宋_GB2312" w:hAnsi="ˎ̥" w:eastAsia="仿宋_GB2312"/>
          <w:color w:val="FF0000"/>
          <w:sz w:val="32"/>
          <w:szCs w:val="32"/>
          <w:lang w:val="en-US" w:eastAsia="zh-CN"/>
        </w:rPr>
        <w:t>2</w:t>
      </w:r>
      <w:r>
        <w:rPr>
          <w:rFonts w:hint="eastAsia" w:ascii="仿宋_GB2312" w:hAnsi="ˎ̥" w:eastAsia="仿宋_GB2312"/>
          <w:sz w:val="32"/>
          <w:szCs w:val="32"/>
        </w:rPr>
        <w:t>辆、其他用车</w:t>
      </w:r>
      <w:r>
        <w:rPr>
          <w:rFonts w:hint="eastAsia" w:ascii="仿宋_GB2312" w:hAnsi="ˎ̥" w:eastAsia="仿宋_GB2312"/>
          <w:color w:val="FF0000"/>
          <w:sz w:val="32"/>
          <w:szCs w:val="32"/>
          <w:lang w:val="en-US" w:eastAsia="zh-CN"/>
        </w:rPr>
        <w:t>1</w:t>
      </w:r>
      <w:r>
        <w:rPr>
          <w:rFonts w:hint="eastAsia" w:ascii="仿宋_GB2312" w:hAnsi="ˎ̥" w:eastAsia="仿宋_GB2312"/>
          <w:sz w:val="32"/>
          <w:szCs w:val="32"/>
        </w:rPr>
        <w:t>辆。</w:t>
      </w:r>
      <w:r>
        <w:rPr>
          <w:rFonts w:hint="eastAsia" w:ascii="仿宋_GB2312" w:hAnsi="ˎ̥" w:eastAsia="仿宋_GB2312"/>
          <w:sz w:val="32"/>
          <w:szCs w:val="32"/>
          <w:lang w:val="en-US" w:eastAsia="zh-CN"/>
        </w:rPr>
        <w:t xml:space="preserve">     </w:t>
      </w:r>
    </w:p>
    <w:p w14:paraId="378F916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单价100万元（含）以上设备（不含车辆）</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台（套）。</w:t>
      </w:r>
    </w:p>
    <w:p w14:paraId="0B1A3A0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上述国有资产占用情况相关数</w:t>
      </w:r>
      <w:r>
        <w:rPr>
          <w:rFonts w:hint="eastAsia" w:ascii="仿宋_GB2312" w:hAnsi="ˎ̥" w:eastAsia="仿宋_GB2312"/>
          <w:sz w:val="32"/>
          <w:szCs w:val="32"/>
          <w:lang w:val="en-US" w:eastAsia="zh-CN"/>
        </w:rPr>
        <w:t>据</w:t>
      </w:r>
      <w:r>
        <w:rPr>
          <w:rFonts w:hint="eastAsia" w:ascii="仿宋_GB2312" w:hAnsi="ˎ̥" w:eastAsia="仿宋_GB2312"/>
          <w:sz w:val="32"/>
          <w:szCs w:val="32"/>
        </w:rPr>
        <w:t>取自</w:t>
      </w:r>
      <w:r>
        <w:rPr>
          <w:rFonts w:hint="default" w:ascii="仿宋_GB2312" w:hAnsi="ˎ̥" w:eastAsia="仿宋_GB2312"/>
          <w:sz w:val="32"/>
          <w:szCs w:val="32"/>
          <w:lang w:val="en-US"/>
        </w:rPr>
        <w:t>2024</w:t>
      </w:r>
      <w:r>
        <w:rPr>
          <w:rFonts w:hint="eastAsia" w:ascii="仿宋_GB2312" w:hAnsi="ˎ̥" w:eastAsia="仿宋_GB2312"/>
          <w:sz w:val="32"/>
          <w:szCs w:val="32"/>
        </w:rPr>
        <w:t>年度部门决算F0</w:t>
      </w:r>
      <w:r>
        <w:rPr>
          <w:rFonts w:hint="default" w:ascii="仿宋_GB2312" w:hAnsi="ˎ̥" w:eastAsia="仿宋_GB2312"/>
          <w:sz w:val="32"/>
          <w:szCs w:val="32"/>
          <w:lang w:val="en-US"/>
        </w:rPr>
        <w:t>2</w:t>
      </w:r>
      <w:r>
        <w:rPr>
          <w:rFonts w:hint="eastAsia" w:ascii="仿宋_GB2312" w:hAnsi="ˎ̥" w:eastAsia="仿宋_GB2312"/>
          <w:sz w:val="32"/>
          <w:szCs w:val="32"/>
        </w:rPr>
        <w:t>表《预算支出相关信息表》、F03表《机构运行信息表》。）</w:t>
      </w:r>
    </w:p>
    <w:p w14:paraId="20F5AB1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bookmarkStart w:id="113" w:name="_Toc17580_WPSOffice_Level1"/>
      <w:bookmarkStart w:id="114" w:name="_Toc8808_WPSOffice_Level1"/>
      <w:bookmarkStart w:id="115" w:name="_Toc4398_WPSOffice_Level1"/>
      <w:bookmarkStart w:id="116" w:name="_Toc15425_WPSOffice_Level1"/>
      <w:bookmarkStart w:id="117" w:name="_Toc8874_WPSOffice_Level1"/>
      <w:bookmarkStart w:id="118" w:name="_Toc11039_WPSOffice_Level1"/>
    </w:p>
    <w:p w14:paraId="7D7EA2A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r>
        <w:rPr>
          <w:rFonts w:hint="eastAsia" w:ascii="黑体" w:hAnsi="ˎ̥" w:eastAsia="黑体"/>
          <w:sz w:val="32"/>
          <w:szCs w:val="32"/>
        </w:rPr>
        <w:t>第四部分  名词解释</w:t>
      </w:r>
      <w:bookmarkEnd w:id="113"/>
      <w:bookmarkEnd w:id="114"/>
      <w:bookmarkEnd w:id="115"/>
      <w:bookmarkEnd w:id="116"/>
      <w:bookmarkEnd w:id="117"/>
      <w:bookmarkEnd w:id="118"/>
    </w:p>
    <w:p w14:paraId="20DF719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14:paraId="70B2D6DD">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财政拨款收入：指同级政府财政部门当年拨付的各类财政拨款。</w:t>
      </w:r>
    </w:p>
    <w:p w14:paraId="7CB0110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二、上级补助收入：指事业单位从主管部门和上级单位取得的非财政补助收入。</w:t>
      </w:r>
    </w:p>
    <w:p w14:paraId="615F44C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三、事业收入：指事业单位开展专业业务活动及辅助活动取得的收入。</w:t>
      </w:r>
    </w:p>
    <w:p w14:paraId="2DDD1A1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四、经营收入：指事业单位在专业业务活动及其辅助活动之外开展非独立核算经营活动取得的收入。</w:t>
      </w:r>
    </w:p>
    <w:p w14:paraId="1C1D4A3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五、附属单位上缴收入：指事业单位取得附属独立核算单位根据有关规定上缴的收入。</w:t>
      </w:r>
    </w:p>
    <w:p w14:paraId="2FC801B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六、其他收入：指除上述“财政拨款收入”“事业收入”“上级补助收入”“经营收入”“附属单位上缴收入”等以外的收入。</w:t>
      </w:r>
    </w:p>
    <w:p w14:paraId="742CA95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七、使用非财政拨款结余：指事业单位在当年的“财政拨款收入”“事业收入”“经营收入”“其他收入”等不足以安排当年支出的情况下，使用非同级财政拨款结余资金弥补本年度收支缺口。</w:t>
      </w:r>
    </w:p>
    <w:p w14:paraId="28F678F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八、年初结转和结余：指以前年度尚未完成、结转到本年按有关规定继续使用的资金，或项目已完成等产生的结余资金。</w:t>
      </w:r>
    </w:p>
    <w:p w14:paraId="532391E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九、结余分配：指事业单位缴纳企业所得税以及从非财政拨款结余或经营结余中提取各类结余的情况。</w:t>
      </w:r>
    </w:p>
    <w:p w14:paraId="63B3F8D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十、年末结转和结余：指本年度或以前年度预算安排、因客观条件发生变化无法按原计划实施，需要延迟到以后年度按有关规定继续使用的资金（不包括事业单位非财政拨款结余和专用结余）。</w:t>
      </w:r>
    </w:p>
    <w:p w14:paraId="0236745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十一、基本支出：指为保障机构正常运转、完成日常工作任务而发生的人员支出和公用支出。</w:t>
      </w:r>
    </w:p>
    <w:p w14:paraId="72D5145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十二、项目支出：指在基本支出之外为完成特定行政任务和事业发展目标所发生的支出。</w:t>
      </w:r>
    </w:p>
    <w:p w14:paraId="7314EBA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十三、经营支出：指事业单位在专业业务活动及其辅助活动之外开展非独立核算经营活动发生的支出。</w:t>
      </w:r>
    </w:p>
    <w:p w14:paraId="1ACBFEC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14:paraId="101C4972">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sz w:val="32"/>
          <w:szCs w:val="32"/>
        </w:rPr>
      </w:pPr>
      <w:r>
        <w:rPr>
          <w:rFonts w:hint="eastAsia" w:ascii="仿宋_GB2312" w:hAnsi="ˎ̥" w:eastAsia="仿宋_GB2312"/>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14:paraId="419A08C7">
      <w:pPr>
        <w:keepNext w:val="0"/>
        <w:keepLines w:val="0"/>
        <w:pageBreakBefore w:val="0"/>
        <w:widowControl w:val="0"/>
        <w:kinsoku/>
        <w:wordWrap/>
        <w:overflowPunct/>
        <w:topLinePunct w:val="0"/>
        <w:autoSpaceDE/>
        <w:autoSpaceDN/>
        <w:bidi w:val="0"/>
        <w:adjustRightInd/>
        <w:snapToGrid/>
        <w:spacing w:line="578" w:lineRule="exact"/>
        <w:textAlignment w:val="auto"/>
      </w:pPr>
      <w:bookmarkStart w:id="119" w:name="_GoBack"/>
      <w:bookmarkEnd w:id="119"/>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支出功能分类的名词解释，各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单位根据实际支出情况填列，可参阅财政部印发的《</w:t>
      </w:r>
      <w:r>
        <w:rPr>
          <w:rFonts w:hint="default" w:ascii="仿宋_GB2312" w:hAnsi="ˎ̥" w:eastAsia="仿宋_GB2312"/>
          <w:sz w:val="32"/>
          <w:szCs w:val="32"/>
          <w:lang w:val="en-US"/>
        </w:rPr>
        <w:t>2024</w:t>
      </w:r>
      <w:r>
        <w:rPr>
          <w:rFonts w:hint="eastAsia" w:ascii="仿宋_GB2312" w:hAnsi="ˎ̥" w:eastAsia="仿宋_GB2312"/>
          <w:sz w:val="32"/>
          <w:szCs w:val="32"/>
        </w:rPr>
        <w:t>年政府收支分类科目》</w:t>
      </w:r>
      <w:r>
        <w:rPr>
          <w:rFonts w:hint="eastAsia" w:ascii="仿宋_GB2312" w:hAnsi="ˎ̥" w:eastAsia="仿宋_GB2312"/>
          <w:sz w:val="32"/>
          <w:szCs w:val="32"/>
          <w:lang w:eastAsia="zh-CN"/>
        </w:rPr>
        <w:t>。</w:t>
      </w:r>
      <w:r>
        <w:rPr>
          <w:rFonts w:hint="eastAsia" w:ascii="仿宋_GB2312" w:hAnsi="ˎ̥" w:eastAsia="仿宋_GB2312"/>
          <w:sz w:val="32"/>
          <w:szCs w:val="32"/>
        </w:rPr>
        <w:t>）</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9E08A">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18</w:t>
    </w:r>
    <w:r>
      <w:fldChar w:fldCharType="end"/>
    </w:r>
  </w:p>
  <w:p w14:paraId="1BD1ED8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6F60F">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07FD915D">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D85DCF89"/>
    <w:multiLevelType w:val="singleLevel"/>
    <w:tmpl w:val="D85DCF89"/>
    <w:lvl w:ilvl="0" w:tentative="0">
      <w:start w:val="1"/>
      <w:numFmt w:val="chineseCounting"/>
      <w:suff w:val="nothing"/>
      <w:lvlText w:val="%1、"/>
      <w:lvlJc w:val="left"/>
      <w:rPr>
        <w:rFonts w:hint="eastAsia"/>
      </w:rPr>
    </w:lvl>
  </w:abstractNum>
  <w:abstractNum w:abstractNumId="2">
    <w:nsid w:val="72109F8D"/>
    <w:multiLevelType w:val="singleLevel"/>
    <w:tmpl w:val="72109F8D"/>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9201287"/>
    <w:rsid w:val="0FC80124"/>
    <w:rsid w:val="136F98C7"/>
    <w:rsid w:val="17427E68"/>
    <w:rsid w:val="1755065F"/>
    <w:rsid w:val="1AFC29C9"/>
    <w:rsid w:val="1CA52F2E"/>
    <w:rsid w:val="1DFE370B"/>
    <w:rsid w:val="1E3630B9"/>
    <w:rsid w:val="22870F6E"/>
    <w:rsid w:val="26EEC2B5"/>
    <w:rsid w:val="29472309"/>
    <w:rsid w:val="2B406E77"/>
    <w:rsid w:val="2C2A0C43"/>
    <w:rsid w:val="2D1E73A5"/>
    <w:rsid w:val="32717154"/>
    <w:rsid w:val="34B63260"/>
    <w:rsid w:val="37FDA7E2"/>
    <w:rsid w:val="39EF35F4"/>
    <w:rsid w:val="3A314D88"/>
    <w:rsid w:val="3A746883"/>
    <w:rsid w:val="3CA15DE9"/>
    <w:rsid w:val="3FE61EE5"/>
    <w:rsid w:val="406508EE"/>
    <w:rsid w:val="408D6263"/>
    <w:rsid w:val="41B40CEE"/>
    <w:rsid w:val="48317291"/>
    <w:rsid w:val="485F7024"/>
    <w:rsid w:val="48E70666"/>
    <w:rsid w:val="4C6877E5"/>
    <w:rsid w:val="4D6A468D"/>
    <w:rsid w:val="4EA86137"/>
    <w:rsid w:val="50363410"/>
    <w:rsid w:val="56CA7FD0"/>
    <w:rsid w:val="57FA38D1"/>
    <w:rsid w:val="5F7D3333"/>
    <w:rsid w:val="61385890"/>
    <w:rsid w:val="6504510C"/>
    <w:rsid w:val="687436E1"/>
    <w:rsid w:val="6DA45C50"/>
    <w:rsid w:val="6E9A7825"/>
    <w:rsid w:val="6F670F9B"/>
    <w:rsid w:val="737450E0"/>
    <w:rsid w:val="74054476"/>
    <w:rsid w:val="742F38C4"/>
    <w:rsid w:val="74AB66DC"/>
    <w:rsid w:val="74C4154C"/>
    <w:rsid w:val="75956FFF"/>
    <w:rsid w:val="77AA2D01"/>
    <w:rsid w:val="7CDE1DBD"/>
    <w:rsid w:val="7D943A85"/>
    <w:rsid w:val="7DB0448C"/>
    <w:rsid w:val="7E5F9AA4"/>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page number"/>
    <w:qFormat/>
    <w:uiPriority w:val="0"/>
  </w:style>
  <w:style w:type="character" w:styleId="10">
    <w:name w:val="annotation reference"/>
    <w:qFormat/>
    <w:uiPriority w:val="0"/>
    <w:rPr>
      <w:sz w:val="21"/>
      <w:szCs w:val="21"/>
    </w:rPr>
  </w:style>
  <w:style w:type="character" w:customStyle="1" w:styleId="11">
    <w:name w:val="批注文字 Char"/>
    <w:link w:val="2"/>
    <w:qFormat/>
    <w:uiPriority w:val="0"/>
    <w:rPr>
      <w:kern w:val="2"/>
      <w:sz w:val="21"/>
      <w:szCs w:val="24"/>
    </w:rPr>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character" w:customStyle="1" w:styleId="14">
    <w:name w:val="批注主题 Char"/>
    <w:link w:val="6"/>
    <w:qFormat/>
    <w:uiPriority w:val="0"/>
    <w:rPr>
      <w:b/>
      <w:bCs/>
      <w:kern w:val="2"/>
      <w:sz w:val="21"/>
      <w:szCs w:val="24"/>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Chars="200"/>
    </w:pPr>
    <w:rPr>
      <w:rFonts w:ascii="Times New Roman" w:hAnsi="Times New Roman" w:eastAsia="宋体" w:cs="Times New Roman"/>
      <w:lang w:val="en-US" w:eastAsia="zh-CN" w:bidi="ar-SA"/>
    </w:rPr>
  </w:style>
  <w:style w:type="paragraph" w:customStyle="1" w:styleId="17">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9696</Words>
  <Characters>10526</Characters>
  <Lines>67</Lines>
  <Paragraphs>18</Paragraphs>
  <TotalTime>59</TotalTime>
  <ScaleCrop>false</ScaleCrop>
  <LinksUpToDate>false</LinksUpToDate>
  <CharactersWithSpaces>10612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cp:lastModifiedBy>
  <cp:lastPrinted>2023-08-03T00:58:00Z</cp:lastPrinted>
  <dcterms:modified xsi:type="dcterms:W3CDTF">2025-09-15T08:44:50Z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62BEC4820EE04D218B436F3F82916A05_13</vt:lpwstr>
  </property>
  <property fmtid="{D5CDD505-2E9C-101B-9397-08002B2CF9AE}" pid="4" name="KSOTemplateDocerSaveRecord">
    <vt:lpwstr>eyJoZGlkIjoiZWM5YTNkM2YwMTY4NGE0ZmNlMzE3ZjE0MGQ1ZmZlNDIiLCJ1c2VySWQiOiI1MjI2ODIwMjUifQ==</vt:lpwstr>
  </property>
</Properties>
</file>